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EDD92" w14:textId="77777777" w:rsidR="00CE5427" w:rsidRPr="00531CC4" w:rsidRDefault="00CE5427">
      <w:pPr>
        <w:rPr>
          <w:sz w:val="24"/>
          <w:szCs w:val="24"/>
        </w:rPr>
      </w:pPr>
    </w:p>
    <w:tbl>
      <w:tblPr>
        <w:tblW w:w="0" w:type="auto"/>
        <w:tblLook w:val="01E0" w:firstRow="1" w:lastRow="1" w:firstColumn="1" w:lastColumn="1" w:noHBand="0" w:noVBand="0"/>
      </w:tblPr>
      <w:tblGrid>
        <w:gridCol w:w="9012"/>
        <w:gridCol w:w="14"/>
      </w:tblGrid>
      <w:tr w:rsidR="00CE5427" w:rsidRPr="00656AD3" w14:paraId="2AE978A7" w14:textId="77777777" w:rsidTr="00916E63">
        <w:trPr>
          <w:gridAfter w:val="1"/>
          <w:wAfter w:w="14" w:type="dxa"/>
          <w:trHeight w:val="1674"/>
        </w:trPr>
        <w:tc>
          <w:tcPr>
            <w:tcW w:w="9228" w:type="dxa"/>
            <w:shd w:val="clear" w:color="auto" w:fill="auto"/>
          </w:tcPr>
          <w:p w14:paraId="6015576C" w14:textId="77777777" w:rsidR="00B161E5" w:rsidRPr="00E52D60" w:rsidRDefault="00B161E5" w:rsidP="00B161E5">
            <w:pPr>
              <w:jc w:val="center"/>
              <w:rPr>
                <w:rFonts w:ascii="Arial Black" w:hAnsi="Arial Black"/>
                <w:sz w:val="24"/>
                <w:szCs w:val="24"/>
              </w:rPr>
            </w:pPr>
            <w:r w:rsidRPr="00E52D60">
              <w:rPr>
                <w:rFonts w:ascii="Arial Black" w:hAnsi="Arial Black"/>
                <w:sz w:val="24"/>
                <w:szCs w:val="24"/>
              </w:rPr>
              <w:t>Report of the Portfolio Holder for Corporate and Finance</w:t>
            </w:r>
          </w:p>
          <w:p w14:paraId="2DC7BE00" w14:textId="77777777" w:rsidR="00B161E5" w:rsidRPr="00E52D60" w:rsidRDefault="00B161E5" w:rsidP="00B161E5">
            <w:pPr>
              <w:jc w:val="center"/>
              <w:rPr>
                <w:rFonts w:ascii="Arial Black" w:hAnsi="Arial Black"/>
                <w:sz w:val="24"/>
                <w:szCs w:val="24"/>
              </w:rPr>
            </w:pPr>
            <w:r w:rsidRPr="00E52D60">
              <w:rPr>
                <w:rFonts w:ascii="Arial Black" w:hAnsi="Arial Black"/>
                <w:sz w:val="24"/>
                <w:szCs w:val="24"/>
              </w:rPr>
              <w:t>To</w:t>
            </w:r>
          </w:p>
          <w:p w14:paraId="62D0D1D3" w14:textId="77777777" w:rsidR="00B161E5" w:rsidRPr="00656AD3" w:rsidRDefault="00B161E5" w:rsidP="00B161E5">
            <w:pPr>
              <w:jc w:val="center"/>
              <w:rPr>
                <w:rFonts w:ascii="Arial Black" w:hAnsi="Arial Black"/>
                <w:sz w:val="24"/>
                <w:szCs w:val="24"/>
              </w:rPr>
            </w:pPr>
            <w:r>
              <w:rPr>
                <w:rFonts w:ascii="Arial Black" w:hAnsi="Arial Black"/>
                <w:sz w:val="24"/>
                <w:szCs w:val="24"/>
              </w:rPr>
              <w:t>Cabinet</w:t>
            </w:r>
            <w:bookmarkStart w:id="0" w:name="_GoBack"/>
            <w:bookmarkEnd w:id="0"/>
          </w:p>
          <w:p w14:paraId="000E84F7" w14:textId="77777777" w:rsidR="00B161E5" w:rsidRPr="00656AD3" w:rsidRDefault="00B161E5" w:rsidP="00B161E5">
            <w:pPr>
              <w:jc w:val="center"/>
              <w:rPr>
                <w:rFonts w:ascii="Arial Black" w:hAnsi="Arial Black"/>
                <w:sz w:val="24"/>
                <w:szCs w:val="24"/>
              </w:rPr>
            </w:pPr>
            <w:r w:rsidRPr="00656AD3">
              <w:rPr>
                <w:rFonts w:ascii="Arial Black" w:hAnsi="Arial Black" w:cs="Arial"/>
                <w:sz w:val="24"/>
                <w:szCs w:val="24"/>
              </w:rPr>
              <w:t>On</w:t>
            </w:r>
          </w:p>
          <w:p w14:paraId="2DD6F7B4" w14:textId="48739753" w:rsidR="00CE5427" w:rsidRPr="00656AD3" w:rsidRDefault="00B161E5" w:rsidP="00B161E5">
            <w:pPr>
              <w:jc w:val="center"/>
              <w:rPr>
                <w:rFonts w:ascii="Arial Black" w:hAnsi="Arial Black"/>
                <w:sz w:val="24"/>
                <w:szCs w:val="24"/>
              </w:rPr>
            </w:pPr>
            <w:r>
              <w:rPr>
                <w:rFonts w:ascii="Arial Black" w:hAnsi="Arial Black"/>
                <w:sz w:val="24"/>
                <w:szCs w:val="24"/>
              </w:rPr>
              <w:t>18 January, 2021</w:t>
            </w:r>
          </w:p>
        </w:tc>
      </w:tr>
      <w:tr w:rsidR="00CE5427" w:rsidRPr="00656AD3" w14:paraId="2B04A7B0" w14:textId="77777777" w:rsidTr="00916E63">
        <w:trPr>
          <w:gridAfter w:val="1"/>
          <w:wAfter w:w="14" w:type="dxa"/>
        </w:trPr>
        <w:tc>
          <w:tcPr>
            <w:tcW w:w="9228" w:type="dxa"/>
            <w:shd w:val="clear" w:color="auto" w:fill="auto"/>
          </w:tcPr>
          <w:p w14:paraId="59C6645A" w14:textId="77777777" w:rsidR="00CE5427" w:rsidRPr="00656AD3" w:rsidRDefault="00CE5427" w:rsidP="00916E63">
            <w:pPr>
              <w:jc w:val="center"/>
              <w:rPr>
                <w:rFonts w:ascii="Arial Black" w:hAnsi="Arial Black"/>
                <w:sz w:val="24"/>
                <w:szCs w:val="24"/>
              </w:rPr>
            </w:pPr>
          </w:p>
        </w:tc>
      </w:tr>
      <w:tr w:rsidR="00CE5427" w:rsidRPr="00656AD3" w14:paraId="1928DF99" w14:textId="77777777" w:rsidTr="00916E63">
        <w:tc>
          <w:tcPr>
            <w:tcW w:w="9242" w:type="dxa"/>
            <w:gridSpan w:val="2"/>
            <w:tcBorders>
              <w:top w:val="single" w:sz="24" w:space="0" w:color="auto"/>
              <w:bottom w:val="single" w:sz="24" w:space="0" w:color="auto"/>
            </w:tcBorders>
            <w:shd w:val="clear" w:color="auto" w:fill="auto"/>
          </w:tcPr>
          <w:p w14:paraId="6CA1E05A" w14:textId="77777777" w:rsidR="00CE5427" w:rsidRPr="00656AD3" w:rsidRDefault="00EA41D9" w:rsidP="00F5453F">
            <w:pPr>
              <w:spacing w:before="240" w:after="240"/>
              <w:jc w:val="center"/>
              <w:rPr>
                <w:rFonts w:cs="Arial"/>
                <w:b/>
                <w:sz w:val="24"/>
                <w:szCs w:val="24"/>
              </w:rPr>
            </w:pPr>
            <w:r>
              <w:rPr>
                <w:rFonts w:cs="Arial"/>
                <w:b/>
                <w:sz w:val="24"/>
                <w:szCs w:val="24"/>
              </w:rPr>
              <w:t>Med</w:t>
            </w:r>
            <w:r w:rsidR="00F5453F">
              <w:rPr>
                <w:rFonts w:cs="Arial"/>
                <w:b/>
                <w:sz w:val="24"/>
                <w:szCs w:val="24"/>
              </w:rPr>
              <w:t>ium Term Financial Strategy 2021/22</w:t>
            </w:r>
            <w:r>
              <w:rPr>
                <w:rFonts w:cs="Arial"/>
                <w:b/>
                <w:sz w:val="24"/>
                <w:szCs w:val="24"/>
              </w:rPr>
              <w:t xml:space="preserve"> to 202</w:t>
            </w:r>
            <w:r w:rsidR="00F5453F">
              <w:rPr>
                <w:rFonts w:cs="Arial"/>
                <w:b/>
                <w:sz w:val="24"/>
                <w:szCs w:val="24"/>
              </w:rPr>
              <w:t>3</w:t>
            </w:r>
            <w:r>
              <w:rPr>
                <w:rFonts w:cs="Arial"/>
                <w:b/>
                <w:sz w:val="24"/>
                <w:szCs w:val="24"/>
              </w:rPr>
              <w:t>/2</w:t>
            </w:r>
            <w:r w:rsidR="00F5453F">
              <w:rPr>
                <w:rFonts w:cs="Arial"/>
                <w:b/>
                <w:sz w:val="24"/>
                <w:szCs w:val="24"/>
              </w:rPr>
              <w:t>4</w:t>
            </w:r>
          </w:p>
        </w:tc>
      </w:tr>
    </w:tbl>
    <w:p w14:paraId="5016B0A5" w14:textId="77777777" w:rsidR="008518DD" w:rsidRPr="00656AD3" w:rsidRDefault="008518DD" w:rsidP="00352363">
      <w:pPr>
        <w:ind w:hanging="720"/>
        <w:rPr>
          <w:rFonts w:cs="Arial"/>
          <w:sz w:val="24"/>
          <w:szCs w:val="24"/>
        </w:rPr>
      </w:pPr>
    </w:p>
    <w:p w14:paraId="11838F66" w14:textId="77777777" w:rsidR="00545280" w:rsidRPr="00656AD3" w:rsidRDefault="00545280" w:rsidP="00352363">
      <w:pPr>
        <w:ind w:hanging="720"/>
        <w:rPr>
          <w:rFonts w:cs="Arial"/>
          <w:sz w:val="24"/>
          <w:szCs w:val="24"/>
        </w:rPr>
      </w:pPr>
    </w:p>
    <w:p w14:paraId="7F20ED47" w14:textId="77777777" w:rsidR="00545280" w:rsidRPr="00656AD3" w:rsidRDefault="00545280" w:rsidP="00394E10">
      <w:pPr>
        <w:ind w:left="851" w:hanging="851"/>
        <w:jc w:val="left"/>
        <w:outlineLvl w:val="0"/>
        <w:rPr>
          <w:sz w:val="24"/>
          <w:szCs w:val="24"/>
        </w:rPr>
      </w:pPr>
      <w:r w:rsidRPr="00656AD3">
        <w:rPr>
          <w:b/>
          <w:sz w:val="24"/>
          <w:szCs w:val="24"/>
        </w:rPr>
        <w:t>1.</w:t>
      </w:r>
      <w:r w:rsidRPr="00656AD3">
        <w:rPr>
          <w:b/>
          <w:sz w:val="24"/>
          <w:szCs w:val="24"/>
        </w:rPr>
        <w:tab/>
        <w:t>SUMMARY</w:t>
      </w:r>
    </w:p>
    <w:p w14:paraId="2D3BC9F6" w14:textId="77777777" w:rsidR="00545280" w:rsidRPr="00656AD3" w:rsidRDefault="00545280" w:rsidP="00394E10">
      <w:pPr>
        <w:ind w:left="851" w:hanging="851"/>
        <w:jc w:val="left"/>
        <w:rPr>
          <w:sz w:val="24"/>
          <w:szCs w:val="24"/>
        </w:rPr>
      </w:pPr>
    </w:p>
    <w:p w14:paraId="69BF9DEF" w14:textId="07AE89BE" w:rsidR="00545280" w:rsidRPr="00656AD3" w:rsidRDefault="00545280" w:rsidP="00394E10">
      <w:pPr>
        <w:ind w:left="851" w:hanging="851"/>
        <w:jc w:val="left"/>
        <w:rPr>
          <w:sz w:val="24"/>
          <w:szCs w:val="24"/>
        </w:rPr>
      </w:pPr>
      <w:r w:rsidRPr="00656AD3">
        <w:rPr>
          <w:sz w:val="24"/>
          <w:szCs w:val="24"/>
        </w:rPr>
        <w:t>1.1</w:t>
      </w:r>
      <w:r w:rsidRPr="00656AD3">
        <w:rPr>
          <w:sz w:val="24"/>
          <w:szCs w:val="24"/>
        </w:rPr>
        <w:tab/>
        <w:t>This report brings together the proposals for the Council’s General Fund and Housing Revenue Account</w:t>
      </w:r>
      <w:r w:rsidR="00D07702" w:rsidRPr="00656AD3">
        <w:rPr>
          <w:sz w:val="24"/>
          <w:szCs w:val="24"/>
        </w:rPr>
        <w:t xml:space="preserve"> (HRA)</w:t>
      </w:r>
      <w:r w:rsidRPr="00656AD3">
        <w:rPr>
          <w:sz w:val="24"/>
          <w:szCs w:val="24"/>
        </w:rPr>
        <w:t xml:space="preserve"> revenue </w:t>
      </w:r>
      <w:r w:rsidR="00EA41D9">
        <w:rPr>
          <w:sz w:val="24"/>
          <w:szCs w:val="24"/>
        </w:rPr>
        <w:t xml:space="preserve">and capital </w:t>
      </w:r>
      <w:r w:rsidRPr="00656AD3">
        <w:rPr>
          <w:sz w:val="24"/>
          <w:szCs w:val="24"/>
        </w:rPr>
        <w:t xml:space="preserve">budgets which will be considered by Council on </w:t>
      </w:r>
      <w:r w:rsidR="00636BD2" w:rsidRPr="00E52D60">
        <w:rPr>
          <w:sz w:val="24"/>
          <w:szCs w:val="24"/>
        </w:rPr>
        <w:t>2</w:t>
      </w:r>
      <w:r w:rsidR="00F5453F">
        <w:rPr>
          <w:sz w:val="24"/>
          <w:szCs w:val="24"/>
        </w:rPr>
        <w:t>7</w:t>
      </w:r>
      <w:r w:rsidR="00636BD2" w:rsidRPr="00E52D60">
        <w:rPr>
          <w:sz w:val="24"/>
          <w:szCs w:val="24"/>
        </w:rPr>
        <w:t xml:space="preserve"> </w:t>
      </w:r>
      <w:r w:rsidRPr="00E52D60">
        <w:rPr>
          <w:sz w:val="24"/>
          <w:szCs w:val="24"/>
        </w:rPr>
        <w:t xml:space="preserve">January </w:t>
      </w:r>
      <w:r w:rsidR="00F5453F">
        <w:rPr>
          <w:sz w:val="24"/>
          <w:szCs w:val="24"/>
        </w:rPr>
        <w:t>2021</w:t>
      </w:r>
      <w:r w:rsidR="00E52D60" w:rsidRPr="00656AD3">
        <w:rPr>
          <w:sz w:val="24"/>
          <w:szCs w:val="24"/>
        </w:rPr>
        <w:t xml:space="preserve"> </w:t>
      </w:r>
      <w:r w:rsidRPr="00656AD3">
        <w:rPr>
          <w:sz w:val="24"/>
          <w:szCs w:val="24"/>
        </w:rPr>
        <w:t xml:space="preserve">for the financial years </w:t>
      </w:r>
      <w:r w:rsidR="00F5453F" w:rsidRPr="00F5453F">
        <w:rPr>
          <w:sz w:val="24"/>
          <w:szCs w:val="24"/>
        </w:rPr>
        <w:t>2021/22 to 2023/24</w:t>
      </w:r>
      <w:r w:rsidRPr="00656AD3">
        <w:rPr>
          <w:sz w:val="24"/>
          <w:szCs w:val="24"/>
        </w:rPr>
        <w:t xml:space="preserve">. </w:t>
      </w:r>
    </w:p>
    <w:p w14:paraId="771AC32C" w14:textId="77777777" w:rsidR="00545280" w:rsidRPr="00656AD3" w:rsidRDefault="00545280" w:rsidP="00394E10">
      <w:pPr>
        <w:ind w:left="851" w:hanging="851"/>
        <w:jc w:val="left"/>
        <w:rPr>
          <w:sz w:val="24"/>
          <w:szCs w:val="24"/>
        </w:rPr>
      </w:pPr>
    </w:p>
    <w:p w14:paraId="58BE57A8" w14:textId="77777777" w:rsidR="00545280" w:rsidRPr="00656AD3" w:rsidRDefault="00545280" w:rsidP="00545280">
      <w:pPr>
        <w:ind w:left="720" w:hanging="720"/>
        <w:jc w:val="left"/>
        <w:rPr>
          <w:sz w:val="24"/>
          <w:szCs w:val="24"/>
        </w:rPr>
      </w:pPr>
      <w:r w:rsidRPr="00656AD3">
        <w:rPr>
          <w:b/>
          <w:sz w:val="24"/>
          <w:szCs w:val="24"/>
        </w:rPr>
        <w:t xml:space="preserve">Key Decision – </w:t>
      </w:r>
      <w:r w:rsidR="00AD15D9" w:rsidRPr="00656AD3">
        <w:rPr>
          <w:sz w:val="24"/>
          <w:szCs w:val="24"/>
        </w:rPr>
        <w:t>No</w:t>
      </w:r>
    </w:p>
    <w:p w14:paraId="1935BECC" w14:textId="77777777" w:rsidR="00545280" w:rsidRPr="00656AD3" w:rsidRDefault="00545280" w:rsidP="00545280">
      <w:pPr>
        <w:jc w:val="left"/>
        <w:rPr>
          <w:sz w:val="24"/>
          <w:szCs w:val="24"/>
        </w:rPr>
      </w:pPr>
    </w:p>
    <w:p w14:paraId="3DE547C4" w14:textId="77777777" w:rsidR="00545280" w:rsidRPr="00656AD3" w:rsidRDefault="00545280" w:rsidP="00394E10">
      <w:pPr>
        <w:jc w:val="left"/>
        <w:outlineLvl w:val="0"/>
        <w:rPr>
          <w:b/>
          <w:sz w:val="24"/>
          <w:szCs w:val="24"/>
        </w:rPr>
      </w:pPr>
      <w:r w:rsidRPr="00656AD3">
        <w:rPr>
          <w:b/>
          <w:sz w:val="24"/>
          <w:szCs w:val="24"/>
        </w:rPr>
        <w:t>2.</w:t>
      </w:r>
      <w:r w:rsidRPr="00656AD3">
        <w:rPr>
          <w:b/>
          <w:sz w:val="24"/>
          <w:szCs w:val="24"/>
        </w:rPr>
        <w:tab/>
        <w:t>RECOMMENDATIONS</w:t>
      </w:r>
    </w:p>
    <w:p w14:paraId="1FFEF1C3" w14:textId="77777777" w:rsidR="00545280" w:rsidRPr="00656AD3" w:rsidRDefault="00545280" w:rsidP="00394E10">
      <w:pPr>
        <w:ind w:left="851"/>
        <w:jc w:val="left"/>
        <w:rPr>
          <w:sz w:val="24"/>
          <w:szCs w:val="24"/>
        </w:rPr>
      </w:pPr>
    </w:p>
    <w:p w14:paraId="6A947138" w14:textId="77777777" w:rsidR="00AE0F14" w:rsidRPr="00656AD3" w:rsidRDefault="00AE0F14" w:rsidP="00AE0F14">
      <w:pPr>
        <w:ind w:left="709" w:hanging="142"/>
        <w:jc w:val="left"/>
        <w:outlineLvl w:val="0"/>
        <w:rPr>
          <w:b/>
          <w:sz w:val="24"/>
          <w:szCs w:val="24"/>
        </w:rPr>
      </w:pPr>
      <w:r>
        <w:rPr>
          <w:b/>
          <w:sz w:val="24"/>
          <w:szCs w:val="24"/>
        </w:rPr>
        <w:t>That Cabinet recommend to Council:</w:t>
      </w:r>
    </w:p>
    <w:p w14:paraId="5BC86688" w14:textId="77777777" w:rsidR="00AE0F14" w:rsidRPr="00656AD3" w:rsidRDefault="00AE0F14" w:rsidP="00AE0F14">
      <w:pPr>
        <w:ind w:left="851"/>
        <w:jc w:val="left"/>
        <w:rPr>
          <w:sz w:val="24"/>
          <w:szCs w:val="24"/>
        </w:rPr>
      </w:pPr>
    </w:p>
    <w:p w14:paraId="4EC57F4F" w14:textId="1617B8F6" w:rsidR="00AE0F14" w:rsidRPr="005866A0" w:rsidRDefault="00AE0F14" w:rsidP="00AE0F14">
      <w:pPr>
        <w:ind w:left="1134" w:hanging="567"/>
        <w:rPr>
          <w:sz w:val="24"/>
          <w:szCs w:val="24"/>
        </w:rPr>
      </w:pPr>
      <w:r>
        <w:rPr>
          <w:sz w:val="24"/>
          <w:szCs w:val="24"/>
        </w:rPr>
        <w:t>(</w:t>
      </w:r>
      <w:proofErr w:type="spellStart"/>
      <w:r>
        <w:rPr>
          <w:sz w:val="24"/>
          <w:szCs w:val="24"/>
        </w:rPr>
        <w:t>i</w:t>
      </w:r>
      <w:proofErr w:type="spellEnd"/>
      <w:r>
        <w:rPr>
          <w:sz w:val="24"/>
          <w:szCs w:val="24"/>
        </w:rPr>
        <w:t>)</w:t>
      </w:r>
      <w:r>
        <w:rPr>
          <w:sz w:val="24"/>
          <w:szCs w:val="24"/>
        </w:rPr>
        <w:tab/>
      </w:r>
      <w:r w:rsidRPr="005866A0">
        <w:rPr>
          <w:sz w:val="24"/>
          <w:szCs w:val="24"/>
        </w:rPr>
        <w:t xml:space="preserve">That the General Fund revenue budget for </w:t>
      </w:r>
      <w:r>
        <w:rPr>
          <w:sz w:val="24"/>
          <w:szCs w:val="24"/>
        </w:rPr>
        <w:t>2021</w:t>
      </w:r>
      <w:r w:rsidRPr="005866A0">
        <w:rPr>
          <w:sz w:val="24"/>
          <w:szCs w:val="24"/>
        </w:rPr>
        <w:t>/2</w:t>
      </w:r>
      <w:r>
        <w:rPr>
          <w:sz w:val="24"/>
          <w:szCs w:val="24"/>
        </w:rPr>
        <w:t>2</w:t>
      </w:r>
      <w:r w:rsidRPr="005866A0">
        <w:rPr>
          <w:sz w:val="24"/>
          <w:szCs w:val="24"/>
        </w:rPr>
        <w:t xml:space="preserve"> financial year</w:t>
      </w:r>
      <w:r>
        <w:rPr>
          <w:sz w:val="24"/>
          <w:szCs w:val="24"/>
        </w:rPr>
        <w:t xml:space="preserve"> be approved as set out in Appendix</w:t>
      </w:r>
      <w:r w:rsidRPr="005866A0">
        <w:rPr>
          <w:sz w:val="24"/>
          <w:szCs w:val="24"/>
        </w:rPr>
        <w:t xml:space="preserve"> 1.</w:t>
      </w:r>
    </w:p>
    <w:p w14:paraId="32124C8B" w14:textId="588AD764" w:rsidR="00AE0F14" w:rsidRDefault="00AE0F14" w:rsidP="00AE0F14">
      <w:pPr>
        <w:ind w:left="1134" w:hanging="567"/>
        <w:jc w:val="left"/>
        <w:rPr>
          <w:sz w:val="24"/>
          <w:szCs w:val="24"/>
        </w:rPr>
      </w:pPr>
    </w:p>
    <w:p w14:paraId="7B5EC586" w14:textId="167CB9D3" w:rsidR="00AE0F14" w:rsidRDefault="00AE0F14" w:rsidP="00AE0F14">
      <w:pPr>
        <w:ind w:left="1134" w:hanging="567"/>
        <w:jc w:val="left"/>
        <w:rPr>
          <w:sz w:val="24"/>
          <w:szCs w:val="24"/>
        </w:rPr>
      </w:pPr>
      <w:r>
        <w:rPr>
          <w:sz w:val="24"/>
          <w:szCs w:val="24"/>
        </w:rPr>
        <w:t>(ii)</w:t>
      </w:r>
      <w:r>
        <w:rPr>
          <w:sz w:val="24"/>
          <w:szCs w:val="24"/>
        </w:rPr>
        <w:tab/>
      </w:r>
      <w:r w:rsidRPr="005866A0">
        <w:rPr>
          <w:sz w:val="24"/>
          <w:szCs w:val="24"/>
        </w:rPr>
        <w:t>That the General Fund revenue budget for 202</w:t>
      </w:r>
      <w:r>
        <w:rPr>
          <w:sz w:val="24"/>
          <w:szCs w:val="24"/>
        </w:rPr>
        <w:t>2</w:t>
      </w:r>
      <w:r w:rsidRPr="005866A0">
        <w:rPr>
          <w:sz w:val="24"/>
          <w:szCs w:val="24"/>
        </w:rPr>
        <w:t>/2</w:t>
      </w:r>
      <w:r>
        <w:rPr>
          <w:sz w:val="24"/>
          <w:szCs w:val="24"/>
        </w:rPr>
        <w:t>3</w:t>
      </w:r>
      <w:r w:rsidRPr="005866A0">
        <w:rPr>
          <w:sz w:val="24"/>
          <w:szCs w:val="24"/>
        </w:rPr>
        <w:t xml:space="preserve"> to 202</w:t>
      </w:r>
      <w:r>
        <w:rPr>
          <w:sz w:val="24"/>
          <w:szCs w:val="24"/>
        </w:rPr>
        <w:t>3</w:t>
      </w:r>
      <w:r w:rsidRPr="005866A0">
        <w:rPr>
          <w:sz w:val="24"/>
          <w:szCs w:val="24"/>
        </w:rPr>
        <w:t>/2</w:t>
      </w:r>
      <w:r>
        <w:rPr>
          <w:sz w:val="24"/>
          <w:szCs w:val="24"/>
        </w:rPr>
        <w:t>4</w:t>
      </w:r>
      <w:r w:rsidRPr="005866A0">
        <w:rPr>
          <w:sz w:val="24"/>
          <w:szCs w:val="24"/>
        </w:rPr>
        <w:t xml:space="preserve"> financial year be approved in principle, subject to an an</w:t>
      </w:r>
      <w:r>
        <w:rPr>
          <w:sz w:val="24"/>
          <w:szCs w:val="24"/>
        </w:rPr>
        <w:t>nual review, as set out in Appendix</w:t>
      </w:r>
      <w:r w:rsidRPr="005866A0">
        <w:rPr>
          <w:sz w:val="24"/>
          <w:szCs w:val="24"/>
        </w:rPr>
        <w:t xml:space="preserve"> 1.</w:t>
      </w:r>
    </w:p>
    <w:p w14:paraId="7DCCAAC0" w14:textId="3AA09C91" w:rsidR="00AE0F14" w:rsidRDefault="00AE0F14" w:rsidP="00AE0F14">
      <w:pPr>
        <w:rPr>
          <w:sz w:val="24"/>
          <w:szCs w:val="24"/>
        </w:rPr>
      </w:pPr>
    </w:p>
    <w:p w14:paraId="0413ACB7" w14:textId="14C589A0" w:rsidR="00AE0F14" w:rsidRPr="005866A0" w:rsidRDefault="00AE0F14" w:rsidP="00AE0F14">
      <w:pPr>
        <w:ind w:left="1134" w:hanging="567"/>
        <w:rPr>
          <w:sz w:val="24"/>
          <w:szCs w:val="24"/>
        </w:rPr>
      </w:pPr>
      <w:r>
        <w:rPr>
          <w:sz w:val="24"/>
          <w:szCs w:val="24"/>
        </w:rPr>
        <w:t>(iii)</w:t>
      </w:r>
      <w:r>
        <w:rPr>
          <w:sz w:val="24"/>
          <w:szCs w:val="24"/>
        </w:rPr>
        <w:tab/>
      </w:r>
      <w:r w:rsidRPr="005866A0">
        <w:rPr>
          <w:sz w:val="24"/>
          <w:szCs w:val="24"/>
        </w:rPr>
        <w:t xml:space="preserve">That the Housing Revenue Account (HRA) revenue budget for </w:t>
      </w:r>
      <w:r>
        <w:rPr>
          <w:sz w:val="24"/>
          <w:szCs w:val="24"/>
        </w:rPr>
        <w:t>2021</w:t>
      </w:r>
      <w:r w:rsidRPr="005866A0">
        <w:rPr>
          <w:sz w:val="24"/>
          <w:szCs w:val="24"/>
        </w:rPr>
        <w:t>/2</w:t>
      </w:r>
      <w:r>
        <w:rPr>
          <w:sz w:val="24"/>
          <w:szCs w:val="24"/>
        </w:rPr>
        <w:t>2</w:t>
      </w:r>
      <w:r w:rsidRPr="005866A0">
        <w:rPr>
          <w:sz w:val="24"/>
          <w:szCs w:val="24"/>
        </w:rPr>
        <w:t xml:space="preserve"> financial year</w:t>
      </w:r>
      <w:r>
        <w:rPr>
          <w:sz w:val="24"/>
          <w:szCs w:val="24"/>
        </w:rPr>
        <w:t xml:space="preserve"> be approved as set out in Appendix</w:t>
      </w:r>
      <w:r w:rsidRPr="005866A0">
        <w:rPr>
          <w:sz w:val="24"/>
          <w:szCs w:val="24"/>
        </w:rPr>
        <w:t xml:space="preserve"> </w:t>
      </w:r>
      <w:r>
        <w:rPr>
          <w:sz w:val="24"/>
          <w:szCs w:val="24"/>
        </w:rPr>
        <w:t>3</w:t>
      </w:r>
      <w:r w:rsidRPr="005866A0">
        <w:rPr>
          <w:sz w:val="24"/>
          <w:szCs w:val="24"/>
        </w:rPr>
        <w:t>.</w:t>
      </w:r>
    </w:p>
    <w:p w14:paraId="62EEE074" w14:textId="15BA32B6" w:rsidR="00AE0F14" w:rsidRPr="00FB7614" w:rsidRDefault="00AE0F14" w:rsidP="00AE0F14">
      <w:pPr>
        <w:rPr>
          <w:sz w:val="24"/>
          <w:szCs w:val="24"/>
        </w:rPr>
      </w:pPr>
    </w:p>
    <w:p w14:paraId="7A3D1E24" w14:textId="2D0F2E9E" w:rsidR="00AE0F14" w:rsidRDefault="00AE0F14" w:rsidP="00AE0F14">
      <w:pPr>
        <w:ind w:left="1134" w:hanging="567"/>
        <w:jc w:val="left"/>
        <w:rPr>
          <w:sz w:val="24"/>
          <w:szCs w:val="24"/>
        </w:rPr>
      </w:pPr>
      <w:proofErr w:type="gramStart"/>
      <w:r>
        <w:rPr>
          <w:sz w:val="24"/>
          <w:szCs w:val="24"/>
        </w:rPr>
        <w:t xml:space="preserve">(iv) </w:t>
      </w:r>
      <w:r>
        <w:rPr>
          <w:sz w:val="24"/>
          <w:szCs w:val="24"/>
        </w:rPr>
        <w:tab/>
      </w:r>
      <w:r w:rsidRPr="005866A0">
        <w:rPr>
          <w:sz w:val="24"/>
          <w:szCs w:val="24"/>
        </w:rPr>
        <w:t>That</w:t>
      </w:r>
      <w:proofErr w:type="gramEnd"/>
      <w:r w:rsidRPr="005866A0">
        <w:rPr>
          <w:sz w:val="24"/>
          <w:szCs w:val="24"/>
        </w:rPr>
        <w:t xml:space="preserve"> the Housing Revenue Account (HRA) revenue budget for </w:t>
      </w:r>
      <w:r>
        <w:rPr>
          <w:sz w:val="24"/>
          <w:szCs w:val="24"/>
        </w:rPr>
        <w:t xml:space="preserve">the </w:t>
      </w:r>
      <w:r w:rsidRPr="005866A0">
        <w:rPr>
          <w:sz w:val="24"/>
          <w:szCs w:val="24"/>
        </w:rPr>
        <w:t>202</w:t>
      </w:r>
      <w:r>
        <w:rPr>
          <w:sz w:val="24"/>
          <w:szCs w:val="24"/>
        </w:rPr>
        <w:t>2</w:t>
      </w:r>
      <w:r w:rsidRPr="005866A0">
        <w:rPr>
          <w:sz w:val="24"/>
          <w:szCs w:val="24"/>
        </w:rPr>
        <w:t>/2</w:t>
      </w:r>
      <w:r>
        <w:rPr>
          <w:sz w:val="24"/>
          <w:szCs w:val="24"/>
        </w:rPr>
        <w:t>3</w:t>
      </w:r>
      <w:r w:rsidRPr="005866A0">
        <w:rPr>
          <w:sz w:val="24"/>
          <w:szCs w:val="24"/>
        </w:rPr>
        <w:t xml:space="preserve"> to 202</w:t>
      </w:r>
      <w:r>
        <w:rPr>
          <w:sz w:val="24"/>
          <w:szCs w:val="24"/>
        </w:rPr>
        <w:t>3</w:t>
      </w:r>
      <w:r w:rsidRPr="005866A0">
        <w:rPr>
          <w:sz w:val="24"/>
          <w:szCs w:val="24"/>
        </w:rPr>
        <w:t>/2</w:t>
      </w:r>
      <w:r>
        <w:rPr>
          <w:sz w:val="24"/>
          <w:szCs w:val="24"/>
        </w:rPr>
        <w:t>4</w:t>
      </w:r>
      <w:r w:rsidRPr="005866A0">
        <w:rPr>
          <w:sz w:val="24"/>
          <w:szCs w:val="24"/>
        </w:rPr>
        <w:t xml:space="preserve"> financial year</w:t>
      </w:r>
      <w:r>
        <w:rPr>
          <w:sz w:val="24"/>
          <w:szCs w:val="24"/>
        </w:rPr>
        <w:t>s</w:t>
      </w:r>
      <w:r w:rsidRPr="005866A0">
        <w:rPr>
          <w:sz w:val="24"/>
          <w:szCs w:val="24"/>
        </w:rPr>
        <w:t xml:space="preserve"> be approved in principle, subject to an an</w:t>
      </w:r>
      <w:r>
        <w:rPr>
          <w:sz w:val="24"/>
          <w:szCs w:val="24"/>
        </w:rPr>
        <w:t>nual review, as set out in Appendix</w:t>
      </w:r>
      <w:r w:rsidRPr="005866A0">
        <w:rPr>
          <w:sz w:val="24"/>
          <w:szCs w:val="24"/>
        </w:rPr>
        <w:t xml:space="preserve"> </w:t>
      </w:r>
      <w:r>
        <w:rPr>
          <w:sz w:val="24"/>
          <w:szCs w:val="24"/>
        </w:rPr>
        <w:t>3</w:t>
      </w:r>
      <w:r w:rsidRPr="005866A0">
        <w:rPr>
          <w:sz w:val="24"/>
          <w:szCs w:val="24"/>
        </w:rPr>
        <w:t>.</w:t>
      </w:r>
    </w:p>
    <w:p w14:paraId="1D534189" w14:textId="3EA32DEF" w:rsidR="00AE0F14" w:rsidRPr="00FB7614" w:rsidRDefault="00AE0F14" w:rsidP="00AE0F14">
      <w:pPr>
        <w:rPr>
          <w:sz w:val="24"/>
          <w:szCs w:val="24"/>
        </w:rPr>
      </w:pPr>
    </w:p>
    <w:p w14:paraId="1E05EA02" w14:textId="17691D9A" w:rsidR="00AE0F14" w:rsidRPr="005866A0" w:rsidRDefault="00AE0F14" w:rsidP="00AE0F14">
      <w:pPr>
        <w:ind w:left="1134" w:hanging="567"/>
        <w:rPr>
          <w:sz w:val="24"/>
          <w:szCs w:val="24"/>
        </w:rPr>
      </w:pPr>
      <w:r>
        <w:rPr>
          <w:sz w:val="24"/>
          <w:szCs w:val="24"/>
        </w:rPr>
        <w:lastRenderedPageBreak/>
        <w:t>(v)</w:t>
      </w:r>
      <w:r>
        <w:rPr>
          <w:sz w:val="24"/>
          <w:szCs w:val="24"/>
        </w:rPr>
        <w:tab/>
        <w:t>That t</w:t>
      </w:r>
      <w:r w:rsidRPr="005866A0">
        <w:rPr>
          <w:sz w:val="24"/>
          <w:szCs w:val="24"/>
        </w:rPr>
        <w:t xml:space="preserve">he Mansfield District Council </w:t>
      </w:r>
      <w:r>
        <w:rPr>
          <w:sz w:val="24"/>
          <w:szCs w:val="24"/>
        </w:rPr>
        <w:t>2021</w:t>
      </w:r>
      <w:r w:rsidRPr="005866A0">
        <w:rPr>
          <w:sz w:val="24"/>
          <w:szCs w:val="24"/>
        </w:rPr>
        <w:t xml:space="preserve">/22 Band </w:t>
      </w:r>
      <w:r>
        <w:rPr>
          <w:sz w:val="24"/>
          <w:szCs w:val="24"/>
        </w:rPr>
        <w:t>D Council Tax be approved at £194</w:t>
      </w:r>
      <w:r w:rsidRPr="005866A0">
        <w:rPr>
          <w:sz w:val="24"/>
          <w:szCs w:val="24"/>
        </w:rPr>
        <w:t xml:space="preserve">.72, being a £5.00 increase on </w:t>
      </w:r>
      <w:r>
        <w:rPr>
          <w:sz w:val="24"/>
          <w:szCs w:val="24"/>
        </w:rPr>
        <w:t>2020</w:t>
      </w:r>
      <w:r w:rsidRPr="005866A0">
        <w:rPr>
          <w:sz w:val="24"/>
          <w:szCs w:val="24"/>
        </w:rPr>
        <w:t>/2</w:t>
      </w:r>
      <w:r>
        <w:rPr>
          <w:sz w:val="24"/>
          <w:szCs w:val="24"/>
        </w:rPr>
        <w:t>1</w:t>
      </w:r>
      <w:r w:rsidRPr="005866A0">
        <w:rPr>
          <w:sz w:val="24"/>
          <w:szCs w:val="24"/>
        </w:rPr>
        <w:t xml:space="preserve"> (which equates to a 2.7% increase on all other bands).</w:t>
      </w:r>
    </w:p>
    <w:p w14:paraId="63EF0768" w14:textId="77777777" w:rsidR="00AE0F14" w:rsidRDefault="00AE0F14" w:rsidP="00AE0F14">
      <w:pPr>
        <w:ind w:left="1134" w:hanging="567"/>
        <w:rPr>
          <w:sz w:val="24"/>
          <w:szCs w:val="24"/>
        </w:rPr>
      </w:pPr>
    </w:p>
    <w:p w14:paraId="63FC1D93" w14:textId="64C8B8F2" w:rsidR="00AE0F14" w:rsidRPr="009E65CF" w:rsidRDefault="00AE0F14" w:rsidP="00AE0F14">
      <w:pPr>
        <w:ind w:left="1134" w:hanging="567"/>
        <w:rPr>
          <w:sz w:val="24"/>
          <w:szCs w:val="24"/>
        </w:rPr>
      </w:pPr>
      <w:proofErr w:type="gramStart"/>
      <w:r>
        <w:rPr>
          <w:sz w:val="24"/>
          <w:szCs w:val="24"/>
        </w:rPr>
        <w:t>(vi)</w:t>
      </w:r>
      <w:r>
        <w:rPr>
          <w:sz w:val="24"/>
          <w:szCs w:val="24"/>
        </w:rPr>
        <w:tab/>
        <w:t>That</w:t>
      </w:r>
      <w:proofErr w:type="gramEnd"/>
      <w:r>
        <w:rPr>
          <w:sz w:val="24"/>
          <w:szCs w:val="24"/>
        </w:rPr>
        <w:t xml:space="preserve"> the fees and charges for General Fund services be approved for the 2021/22 financial year, as set out in </w:t>
      </w:r>
      <w:r w:rsidRPr="009E65CF">
        <w:rPr>
          <w:sz w:val="24"/>
          <w:szCs w:val="24"/>
        </w:rPr>
        <w:t xml:space="preserve">Appendix </w:t>
      </w:r>
      <w:r w:rsidR="00612FAB">
        <w:rPr>
          <w:sz w:val="24"/>
          <w:szCs w:val="24"/>
        </w:rPr>
        <w:t>9</w:t>
      </w:r>
      <w:r w:rsidRPr="009E65CF">
        <w:rPr>
          <w:sz w:val="24"/>
          <w:szCs w:val="24"/>
        </w:rPr>
        <w:t>.</w:t>
      </w:r>
    </w:p>
    <w:p w14:paraId="5A076B10" w14:textId="77777777" w:rsidR="00AE0F14" w:rsidRPr="009E65CF" w:rsidRDefault="00AE0F14" w:rsidP="00AE0F14">
      <w:pPr>
        <w:ind w:left="1134" w:hanging="567"/>
        <w:rPr>
          <w:sz w:val="24"/>
          <w:szCs w:val="24"/>
        </w:rPr>
      </w:pPr>
    </w:p>
    <w:p w14:paraId="014B406A" w14:textId="631E17FC" w:rsidR="00AE0F14" w:rsidRDefault="00AE0F14" w:rsidP="00AE0F14">
      <w:pPr>
        <w:ind w:left="1134" w:hanging="567"/>
        <w:jc w:val="left"/>
        <w:rPr>
          <w:sz w:val="24"/>
          <w:szCs w:val="24"/>
        </w:rPr>
      </w:pPr>
      <w:r w:rsidRPr="009E65CF">
        <w:rPr>
          <w:sz w:val="24"/>
          <w:szCs w:val="24"/>
        </w:rPr>
        <w:t>(vii)</w:t>
      </w:r>
      <w:r w:rsidRPr="009E65CF">
        <w:rPr>
          <w:sz w:val="24"/>
          <w:szCs w:val="24"/>
        </w:rPr>
        <w:tab/>
        <w:t>That the fees and charges for Housing Revenue Account services be approved for the 2021/22 financia</w:t>
      </w:r>
      <w:r w:rsidR="007B4677" w:rsidRPr="009E65CF">
        <w:rPr>
          <w:sz w:val="24"/>
          <w:szCs w:val="24"/>
        </w:rPr>
        <w:t xml:space="preserve">l year, as set out in Appendix </w:t>
      </w:r>
      <w:r w:rsidR="009E65CF" w:rsidRPr="009E65CF">
        <w:rPr>
          <w:sz w:val="24"/>
          <w:szCs w:val="24"/>
        </w:rPr>
        <w:t>1</w:t>
      </w:r>
      <w:r w:rsidR="00612FAB">
        <w:rPr>
          <w:sz w:val="24"/>
          <w:szCs w:val="24"/>
        </w:rPr>
        <w:t>0</w:t>
      </w:r>
      <w:r w:rsidR="007B4677" w:rsidRPr="009E65CF">
        <w:rPr>
          <w:sz w:val="24"/>
          <w:szCs w:val="24"/>
        </w:rPr>
        <w:t>.</w:t>
      </w:r>
    </w:p>
    <w:p w14:paraId="08CACC7D" w14:textId="671385DD" w:rsidR="00093518" w:rsidRDefault="00093518" w:rsidP="00AE0F14">
      <w:pPr>
        <w:ind w:left="1134" w:hanging="567"/>
        <w:jc w:val="left"/>
        <w:rPr>
          <w:sz w:val="24"/>
          <w:szCs w:val="24"/>
        </w:rPr>
      </w:pPr>
    </w:p>
    <w:p w14:paraId="23327070" w14:textId="4847D613" w:rsidR="00093518" w:rsidRDefault="00093518" w:rsidP="00093518">
      <w:pPr>
        <w:ind w:left="1134" w:hanging="567"/>
        <w:jc w:val="left"/>
        <w:rPr>
          <w:sz w:val="24"/>
          <w:szCs w:val="24"/>
        </w:rPr>
      </w:pPr>
      <w:r>
        <w:rPr>
          <w:sz w:val="24"/>
          <w:szCs w:val="24"/>
        </w:rPr>
        <w:t>(viii)</w:t>
      </w:r>
      <w:r>
        <w:rPr>
          <w:sz w:val="24"/>
          <w:szCs w:val="24"/>
        </w:rPr>
        <w:tab/>
        <w:t>That Council Dwelling rents b</w:t>
      </w:r>
      <w:r w:rsidR="00460717">
        <w:rPr>
          <w:sz w:val="24"/>
          <w:szCs w:val="24"/>
        </w:rPr>
        <w:t>e increased by 1</w:t>
      </w:r>
      <w:r>
        <w:rPr>
          <w:sz w:val="24"/>
          <w:szCs w:val="24"/>
        </w:rPr>
        <w:t>.7% for the 2021/22 financial year, compared to 2020/21, in line with Government Guideline Rents (CPIH plus 1%).</w:t>
      </w:r>
    </w:p>
    <w:p w14:paraId="61103A2C" w14:textId="77777777" w:rsidR="00093518" w:rsidRDefault="00093518" w:rsidP="00093518">
      <w:pPr>
        <w:ind w:left="1134" w:hanging="567"/>
        <w:jc w:val="left"/>
        <w:rPr>
          <w:sz w:val="24"/>
          <w:szCs w:val="24"/>
        </w:rPr>
      </w:pPr>
    </w:p>
    <w:p w14:paraId="4694A0BF" w14:textId="39DC4615" w:rsidR="00093518" w:rsidRPr="00BD56E7" w:rsidRDefault="00093518" w:rsidP="00093518">
      <w:pPr>
        <w:ind w:left="1134" w:hanging="567"/>
        <w:jc w:val="left"/>
        <w:rPr>
          <w:sz w:val="24"/>
          <w:szCs w:val="24"/>
        </w:rPr>
      </w:pPr>
      <w:r>
        <w:rPr>
          <w:sz w:val="24"/>
          <w:szCs w:val="24"/>
        </w:rPr>
        <w:t>(ix)</w:t>
      </w:r>
      <w:r>
        <w:rPr>
          <w:sz w:val="24"/>
          <w:szCs w:val="24"/>
        </w:rPr>
        <w:tab/>
      </w:r>
      <w:r w:rsidRPr="00BD56E7">
        <w:rPr>
          <w:sz w:val="24"/>
          <w:szCs w:val="24"/>
        </w:rPr>
        <w:t xml:space="preserve">That the General Fund Consolidated Capital Programme as detailed in </w:t>
      </w:r>
      <w:r w:rsidR="00BD56E7" w:rsidRPr="00BD56E7">
        <w:rPr>
          <w:sz w:val="24"/>
          <w:szCs w:val="24"/>
        </w:rPr>
        <w:t>Table 3</w:t>
      </w:r>
      <w:r w:rsidRPr="00BD56E7">
        <w:rPr>
          <w:sz w:val="24"/>
          <w:szCs w:val="24"/>
        </w:rPr>
        <w:t xml:space="preserve"> and </w:t>
      </w:r>
      <w:r w:rsidR="00BD56E7" w:rsidRPr="00BD56E7">
        <w:rPr>
          <w:sz w:val="24"/>
          <w:szCs w:val="24"/>
        </w:rPr>
        <w:t>Appendix 4</w:t>
      </w:r>
      <w:r w:rsidRPr="00BD56E7">
        <w:rPr>
          <w:sz w:val="24"/>
          <w:szCs w:val="24"/>
        </w:rPr>
        <w:t xml:space="preserve"> be approved.</w:t>
      </w:r>
    </w:p>
    <w:p w14:paraId="4EE79567" w14:textId="77777777" w:rsidR="00093518" w:rsidRPr="00BD56E7" w:rsidRDefault="00093518" w:rsidP="00093518">
      <w:pPr>
        <w:ind w:left="1134" w:hanging="567"/>
        <w:jc w:val="left"/>
        <w:rPr>
          <w:sz w:val="24"/>
          <w:szCs w:val="24"/>
        </w:rPr>
      </w:pPr>
    </w:p>
    <w:p w14:paraId="255B7E57" w14:textId="349FD246" w:rsidR="00093518" w:rsidRDefault="00093518" w:rsidP="00093518">
      <w:pPr>
        <w:ind w:left="1134" w:hanging="567"/>
        <w:jc w:val="left"/>
        <w:rPr>
          <w:sz w:val="24"/>
          <w:szCs w:val="24"/>
        </w:rPr>
      </w:pPr>
      <w:r w:rsidRPr="00BD56E7">
        <w:rPr>
          <w:sz w:val="24"/>
          <w:szCs w:val="24"/>
        </w:rPr>
        <w:t>(x)</w:t>
      </w:r>
      <w:r w:rsidRPr="00BD56E7">
        <w:rPr>
          <w:sz w:val="24"/>
          <w:szCs w:val="24"/>
        </w:rPr>
        <w:tab/>
        <w:t xml:space="preserve">That the Housing Revenue Account Consolidated Capital Programme as detailed in </w:t>
      </w:r>
      <w:r w:rsidR="00BD56E7" w:rsidRPr="00BD56E7">
        <w:rPr>
          <w:sz w:val="24"/>
          <w:szCs w:val="24"/>
        </w:rPr>
        <w:t>Table 4</w:t>
      </w:r>
      <w:r w:rsidRPr="00BD56E7">
        <w:rPr>
          <w:sz w:val="24"/>
          <w:szCs w:val="24"/>
        </w:rPr>
        <w:t xml:space="preserve"> and Appendix</w:t>
      </w:r>
      <w:r w:rsidR="00BD56E7" w:rsidRPr="00BD56E7">
        <w:rPr>
          <w:sz w:val="24"/>
          <w:szCs w:val="24"/>
        </w:rPr>
        <w:t xml:space="preserve"> 5</w:t>
      </w:r>
      <w:r w:rsidRPr="00BD56E7">
        <w:rPr>
          <w:sz w:val="24"/>
          <w:szCs w:val="24"/>
        </w:rPr>
        <w:t xml:space="preserve"> be approved.</w:t>
      </w:r>
    </w:p>
    <w:p w14:paraId="17B9C2A5" w14:textId="354B13B8" w:rsidR="00545280" w:rsidRPr="00656AD3" w:rsidRDefault="00545280" w:rsidP="000C400B">
      <w:pPr>
        <w:jc w:val="left"/>
        <w:rPr>
          <w:sz w:val="24"/>
          <w:szCs w:val="24"/>
        </w:rPr>
      </w:pPr>
    </w:p>
    <w:p w14:paraId="69AA1612" w14:textId="2D3C6C53" w:rsidR="009856E8" w:rsidRPr="00656AD3" w:rsidRDefault="009856E8" w:rsidP="00571780">
      <w:pPr>
        <w:jc w:val="left"/>
        <w:rPr>
          <w:sz w:val="24"/>
          <w:szCs w:val="24"/>
        </w:rPr>
      </w:pPr>
    </w:p>
    <w:p w14:paraId="3D1D90AC" w14:textId="6D5ADD37" w:rsidR="00BE210E" w:rsidRPr="007A4039" w:rsidRDefault="00BD56E7" w:rsidP="00394E10">
      <w:pPr>
        <w:ind w:left="851" w:hanging="851"/>
        <w:jc w:val="left"/>
        <w:outlineLvl w:val="0"/>
        <w:rPr>
          <w:b/>
          <w:sz w:val="24"/>
          <w:szCs w:val="24"/>
        </w:rPr>
      </w:pPr>
      <w:r>
        <w:rPr>
          <w:b/>
          <w:sz w:val="24"/>
          <w:szCs w:val="24"/>
        </w:rPr>
        <w:t>3.</w:t>
      </w:r>
      <w:r>
        <w:rPr>
          <w:b/>
          <w:sz w:val="24"/>
          <w:szCs w:val="24"/>
        </w:rPr>
        <w:tab/>
      </w:r>
      <w:r w:rsidR="00BE210E" w:rsidRPr="007A4039">
        <w:rPr>
          <w:b/>
          <w:sz w:val="24"/>
          <w:szCs w:val="24"/>
        </w:rPr>
        <w:t>BACKGROUND</w:t>
      </w:r>
    </w:p>
    <w:p w14:paraId="222549B3" w14:textId="0214718A" w:rsidR="005603C4" w:rsidRPr="007A4039" w:rsidRDefault="005603C4" w:rsidP="005603C4">
      <w:pPr>
        <w:rPr>
          <w:rFonts w:cs="Arial"/>
          <w:sz w:val="24"/>
          <w:szCs w:val="24"/>
        </w:rPr>
      </w:pPr>
    </w:p>
    <w:p w14:paraId="4E4680CD" w14:textId="3F0A969A" w:rsidR="005603C4" w:rsidRPr="007A4039" w:rsidRDefault="00CF264B" w:rsidP="00CF264B">
      <w:pPr>
        <w:rPr>
          <w:rFonts w:cs="Arial"/>
          <w:b/>
          <w:sz w:val="24"/>
          <w:szCs w:val="24"/>
        </w:rPr>
      </w:pPr>
      <w:r w:rsidRPr="007A4039">
        <w:rPr>
          <w:rFonts w:cs="Arial"/>
          <w:b/>
          <w:sz w:val="24"/>
          <w:szCs w:val="24"/>
        </w:rPr>
        <w:t>3.1</w:t>
      </w:r>
      <w:r w:rsidRPr="007A4039">
        <w:rPr>
          <w:rFonts w:cs="Arial"/>
          <w:b/>
          <w:sz w:val="24"/>
          <w:szCs w:val="24"/>
        </w:rPr>
        <w:tab/>
      </w:r>
      <w:r w:rsidR="005603C4" w:rsidRPr="007A4039">
        <w:rPr>
          <w:rFonts w:cs="Arial"/>
          <w:b/>
          <w:sz w:val="24"/>
          <w:szCs w:val="24"/>
        </w:rPr>
        <w:t>Covid-19</w:t>
      </w:r>
    </w:p>
    <w:p w14:paraId="38199069" w14:textId="47C5D8A5" w:rsidR="005603C4" w:rsidRPr="007A4039" w:rsidRDefault="005603C4" w:rsidP="005603C4">
      <w:pPr>
        <w:ind w:left="851"/>
        <w:rPr>
          <w:rFonts w:cs="Arial"/>
          <w:sz w:val="24"/>
          <w:szCs w:val="24"/>
        </w:rPr>
      </w:pPr>
    </w:p>
    <w:p w14:paraId="31A0B718" w14:textId="62AA5CAA" w:rsidR="005603C4" w:rsidRDefault="00CF264B" w:rsidP="00CF264B">
      <w:pPr>
        <w:ind w:left="720" w:hanging="720"/>
        <w:rPr>
          <w:rFonts w:cs="Arial"/>
          <w:sz w:val="24"/>
          <w:szCs w:val="24"/>
        </w:rPr>
      </w:pPr>
      <w:r w:rsidRPr="007A4039">
        <w:rPr>
          <w:rFonts w:cs="Arial"/>
          <w:sz w:val="24"/>
          <w:szCs w:val="24"/>
        </w:rPr>
        <w:t>3.1.1</w:t>
      </w:r>
      <w:r w:rsidRPr="007A4039">
        <w:rPr>
          <w:rFonts w:cs="Arial"/>
          <w:sz w:val="24"/>
          <w:szCs w:val="24"/>
        </w:rPr>
        <w:tab/>
      </w:r>
      <w:r w:rsidR="005603C4" w:rsidRPr="007A4039">
        <w:rPr>
          <w:rFonts w:cs="Arial"/>
          <w:sz w:val="24"/>
          <w:szCs w:val="24"/>
        </w:rPr>
        <w:t>When</w:t>
      </w:r>
      <w:r w:rsidR="005603C4" w:rsidRPr="00CF264B">
        <w:rPr>
          <w:rFonts w:cs="Arial"/>
          <w:sz w:val="24"/>
          <w:szCs w:val="24"/>
        </w:rPr>
        <w:t xml:space="preserve"> the 2020/21 budget was set in January 2020, nobody imagined that there would be a global pandemic, and national lockdown, to deal with in the coming months. The financial year started just as the pandemic and lockdown were taking hold in the UK, and Mansfield District Council continues to deal with its impact on our residents, local businesses, and employees.</w:t>
      </w:r>
    </w:p>
    <w:p w14:paraId="3CB1C36B" w14:textId="0AA2BBA9" w:rsidR="00CF264B" w:rsidRDefault="00CF264B" w:rsidP="00CF264B">
      <w:pPr>
        <w:ind w:left="720" w:hanging="720"/>
        <w:rPr>
          <w:rFonts w:cs="Arial"/>
          <w:sz w:val="24"/>
          <w:szCs w:val="24"/>
        </w:rPr>
      </w:pPr>
    </w:p>
    <w:p w14:paraId="6A6B98A6" w14:textId="28F8D8DD" w:rsidR="00CF264B" w:rsidRDefault="00CF264B" w:rsidP="00CF264B">
      <w:pPr>
        <w:ind w:left="720" w:hanging="720"/>
        <w:rPr>
          <w:rFonts w:cs="Arial"/>
          <w:sz w:val="24"/>
          <w:szCs w:val="24"/>
        </w:rPr>
      </w:pPr>
      <w:r>
        <w:rPr>
          <w:rFonts w:cs="Arial"/>
          <w:sz w:val="24"/>
          <w:szCs w:val="24"/>
        </w:rPr>
        <w:t>3.1.2</w:t>
      </w:r>
      <w:r>
        <w:rPr>
          <w:rFonts w:cs="Arial"/>
          <w:sz w:val="24"/>
          <w:szCs w:val="24"/>
        </w:rPr>
        <w:tab/>
      </w:r>
      <w:r w:rsidR="00A96ABE" w:rsidRPr="00A96ABE">
        <w:rPr>
          <w:rFonts w:cs="Arial"/>
          <w:sz w:val="24"/>
          <w:szCs w:val="24"/>
        </w:rPr>
        <w:t>The outbreak</w:t>
      </w:r>
      <w:r w:rsidR="00A96ABE">
        <w:rPr>
          <w:rFonts w:cs="Arial"/>
          <w:sz w:val="24"/>
          <w:szCs w:val="24"/>
        </w:rPr>
        <w:t xml:space="preserve"> </w:t>
      </w:r>
      <w:r w:rsidR="00A96ABE" w:rsidRPr="00A96ABE">
        <w:rPr>
          <w:rFonts w:cs="Arial"/>
          <w:sz w:val="24"/>
          <w:szCs w:val="24"/>
        </w:rPr>
        <w:t>has resulted in financial pressure (and some savings) in almost all areas of Council</w:t>
      </w:r>
      <w:r w:rsidR="00A96ABE">
        <w:rPr>
          <w:rFonts w:cs="Arial"/>
          <w:sz w:val="24"/>
          <w:szCs w:val="24"/>
        </w:rPr>
        <w:t xml:space="preserve"> </w:t>
      </w:r>
      <w:r w:rsidR="00A96ABE" w:rsidRPr="00A96ABE">
        <w:rPr>
          <w:rFonts w:cs="Arial"/>
          <w:sz w:val="24"/>
          <w:szCs w:val="24"/>
        </w:rPr>
        <w:t xml:space="preserve">spend </w:t>
      </w:r>
      <w:r w:rsidR="00A96ABE">
        <w:rPr>
          <w:rFonts w:cs="Arial"/>
          <w:sz w:val="24"/>
          <w:szCs w:val="24"/>
        </w:rPr>
        <w:t xml:space="preserve">in 2020/21 </w:t>
      </w:r>
      <w:r w:rsidR="00A96ABE" w:rsidRPr="00A96ABE">
        <w:rPr>
          <w:rFonts w:cs="Arial"/>
          <w:sz w:val="24"/>
          <w:szCs w:val="24"/>
        </w:rPr>
        <w:t>th</w:t>
      </w:r>
      <w:r w:rsidR="00A96ABE">
        <w:rPr>
          <w:rFonts w:cs="Arial"/>
          <w:sz w:val="24"/>
          <w:szCs w:val="24"/>
        </w:rPr>
        <w:t>r</w:t>
      </w:r>
      <w:r w:rsidR="00A96ABE" w:rsidRPr="00A96ABE">
        <w:rPr>
          <w:rFonts w:cs="Arial"/>
          <w:sz w:val="24"/>
          <w:szCs w:val="24"/>
        </w:rPr>
        <w:t>ough increased expenditure, loss of income from fees and charges, and lower</w:t>
      </w:r>
      <w:r w:rsidR="00A96ABE">
        <w:rPr>
          <w:rFonts w:cs="Arial"/>
          <w:sz w:val="24"/>
          <w:szCs w:val="24"/>
        </w:rPr>
        <w:t xml:space="preserve"> </w:t>
      </w:r>
      <w:r w:rsidR="00A96ABE" w:rsidRPr="00A96ABE">
        <w:rPr>
          <w:rFonts w:cs="Arial"/>
          <w:sz w:val="24"/>
          <w:szCs w:val="24"/>
        </w:rPr>
        <w:t>than expected collection rates for both Council Tax and Business Rates.</w:t>
      </w:r>
      <w:r w:rsidR="00A96ABE">
        <w:rPr>
          <w:rFonts w:cs="Arial"/>
          <w:sz w:val="24"/>
          <w:szCs w:val="24"/>
        </w:rPr>
        <w:t xml:space="preserve"> These additional in-year pressures will have a knock-on effect for the 2021/22 budget, especially if current restrictions continue to be faced by residents in the new financial year.</w:t>
      </w:r>
    </w:p>
    <w:p w14:paraId="6DA453E0" w14:textId="54329E0D" w:rsidR="00CF264B" w:rsidRDefault="00CF264B" w:rsidP="00CF264B">
      <w:pPr>
        <w:ind w:left="720" w:hanging="720"/>
        <w:rPr>
          <w:rFonts w:cs="Arial"/>
          <w:sz w:val="24"/>
          <w:szCs w:val="24"/>
        </w:rPr>
      </w:pPr>
    </w:p>
    <w:p w14:paraId="4BA90324" w14:textId="33506F1E" w:rsidR="00A96ABE" w:rsidRDefault="00CF264B" w:rsidP="00CF264B">
      <w:pPr>
        <w:ind w:left="720" w:hanging="720"/>
        <w:rPr>
          <w:rFonts w:cs="Arial"/>
          <w:sz w:val="24"/>
          <w:szCs w:val="24"/>
        </w:rPr>
      </w:pPr>
      <w:r>
        <w:rPr>
          <w:rFonts w:cs="Arial"/>
          <w:sz w:val="24"/>
          <w:szCs w:val="24"/>
        </w:rPr>
        <w:lastRenderedPageBreak/>
        <w:t>3.1.3</w:t>
      </w:r>
      <w:r>
        <w:rPr>
          <w:rFonts w:cs="Arial"/>
          <w:sz w:val="24"/>
          <w:szCs w:val="24"/>
        </w:rPr>
        <w:tab/>
      </w:r>
      <w:r w:rsidR="00A96ABE" w:rsidRPr="00A96ABE">
        <w:rPr>
          <w:rFonts w:cs="Arial"/>
          <w:sz w:val="24"/>
          <w:szCs w:val="24"/>
        </w:rPr>
        <w:t>The current situation is also having a major displacement effect on the plans that were</w:t>
      </w:r>
      <w:r w:rsidR="00A96ABE">
        <w:rPr>
          <w:rFonts w:cs="Arial"/>
          <w:sz w:val="24"/>
          <w:szCs w:val="24"/>
        </w:rPr>
        <w:t xml:space="preserve"> </w:t>
      </w:r>
      <w:r w:rsidR="00A96ABE" w:rsidRPr="00A96ABE">
        <w:rPr>
          <w:rFonts w:cs="Arial"/>
          <w:sz w:val="24"/>
          <w:szCs w:val="24"/>
        </w:rPr>
        <w:t>in place previously, as officers take on major new responsibilities such as local food</w:t>
      </w:r>
      <w:r w:rsidR="00A96ABE">
        <w:rPr>
          <w:rFonts w:cs="Arial"/>
          <w:sz w:val="24"/>
          <w:szCs w:val="24"/>
        </w:rPr>
        <w:t xml:space="preserve"> </w:t>
      </w:r>
      <w:r w:rsidR="00A96ABE" w:rsidRPr="00A96ABE">
        <w:rPr>
          <w:rFonts w:cs="Arial"/>
          <w:sz w:val="24"/>
          <w:szCs w:val="24"/>
        </w:rPr>
        <w:t>distribution support, numerous different grant payments to local businesses and now</w:t>
      </w:r>
      <w:r w:rsidR="00A96ABE">
        <w:rPr>
          <w:rFonts w:cs="Arial"/>
          <w:sz w:val="24"/>
          <w:szCs w:val="24"/>
        </w:rPr>
        <w:t xml:space="preserve"> </w:t>
      </w:r>
      <w:r w:rsidR="00A96ABE" w:rsidRPr="00A96ABE">
        <w:rPr>
          <w:rFonts w:cs="Arial"/>
          <w:sz w:val="24"/>
          <w:szCs w:val="24"/>
        </w:rPr>
        <w:t>payments to individuals on low incomes being isolated. Whilst the Council has been</w:t>
      </w:r>
      <w:r w:rsidR="00A96ABE">
        <w:rPr>
          <w:rFonts w:cs="Arial"/>
          <w:sz w:val="24"/>
          <w:szCs w:val="24"/>
        </w:rPr>
        <w:t xml:space="preserve"> </w:t>
      </w:r>
      <w:r w:rsidR="00A96ABE" w:rsidRPr="00A96ABE">
        <w:rPr>
          <w:rFonts w:cs="Arial"/>
          <w:sz w:val="24"/>
          <w:szCs w:val="24"/>
        </w:rPr>
        <w:t>responsive to the situation</w:t>
      </w:r>
      <w:r w:rsidR="00A96ABE">
        <w:rPr>
          <w:rFonts w:cs="Arial"/>
          <w:sz w:val="24"/>
          <w:szCs w:val="24"/>
        </w:rPr>
        <w:t>,</w:t>
      </w:r>
      <w:r w:rsidR="00A96ABE" w:rsidRPr="00A96ABE">
        <w:rPr>
          <w:rFonts w:cs="Arial"/>
          <w:sz w:val="24"/>
          <w:szCs w:val="24"/>
        </w:rPr>
        <w:t xml:space="preserve"> the things set out in January for the year have had to be reassessed</w:t>
      </w:r>
      <w:r w:rsidR="00A96ABE">
        <w:rPr>
          <w:rFonts w:cs="Arial"/>
          <w:sz w:val="24"/>
          <w:szCs w:val="24"/>
        </w:rPr>
        <w:t xml:space="preserve"> </w:t>
      </w:r>
      <w:r w:rsidR="00A96ABE" w:rsidRPr="00A96ABE">
        <w:rPr>
          <w:rFonts w:cs="Arial"/>
          <w:sz w:val="24"/>
          <w:szCs w:val="24"/>
        </w:rPr>
        <w:t>as the national lockdown and its effects took hold, the resurrection of the</w:t>
      </w:r>
      <w:r w:rsidR="00A96ABE">
        <w:rPr>
          <w:rFonts w:cs="Arial"/>
          <w:sz w:val="24"/>
          <w:szCs w:val="24"/>
        </w:rPr>
        <w:t xml:space="preserve"> </w:t>
      </w:r>
      <w:r w:rsidR="00A96ABE" w:rsidRPr="00A96ABE">
        <w:rPr>
          <w:rFonts w:cs="Arial"/>
          <w:sz w:val="24"/>
          <w:szCs w:val="24"/>
        </w:rPr>
        <w:t>prospect of local government re-organisation has also had a similar impact.</w:t>
      </w:r>
    </w:p>
    <w:p w14:paraId="2FC39C3B" w14:textId="7E4D3E19" w:rsidR="00CF264B" w:rsidRDefault="00CF264B" w:rsidP="00CF264B">
      <w:pPr>
        <w:ind w:left="720" w:hanging="720"/>
        <w:rPr>
          <w:rFonts w:cs="Arial"/>
          <w:sz w:val="24"/>
          <w:szCs w:val="24"/>
        </w:rPr>
      </w:pPr>
    </w:p>
    <w:p w14:paraId="23D619C8" w14:textId="75FF1D64" w:rsidR="005603C4" w:rsidRPr="006109C6" w:rsidRDefault="00CF264B" w:rsidP="00CF264B">
      <w:pPr>
        <w:ind w:left="720" w:hanging="720"/>
        <w:rPr>
          <w:rFonts w:cs="Arial"/>
          <w:sz w:val="24"/>
          <w:szCs w:val="24"/>
        </w:rPr>
      </w:pPr>
      <w:r>
        <w:rPr>
          <w:rFonts w:cs="Arial"/>
          <w:sz w:val="24"/>
          <w:szCs w:val="24"/>
        </w:rPr>
        <w:t>3.1.4</w:t>
      </w:r>
      <w:r>
        <w:rPr>
          <w:rFonts w:cs="Arial"/>
          <w:sz w:val="24"/>
          <w:szCs w:val="24"/>
        </w:rPr>
        <w:tab/>
      </w:r>
      <w:r w:rsidR="005603C4" w:rsidRPr="006109C6">
        <w:rPr>
          <w:rFonts w:cs="Arial"/>
          <w:sz w:val="24"/>
          <w:szCs w:val="24"/>
        </w:rPr>
        <w:t>The pandemic has mean</w:t>
      </w:r>
      <w:r w:rsidR="00DE2E1E" w:rsidRPr="006109C6">
        <w:rPr>
          <w:rFonts w:cs="Arial"/>
          <w:sz w:val="24"/>
          <w:szCs w:val="24"/>
        </w:rPr>
        <w:t>t that a lot of items that would have affected the 2021/22 budget could potentially be delayed to future years, or have already been delayed. These include:</w:t>
      </w:r>
    </w:p>
    <w:p w14:paraId="6F087BAC" w14:textId="2F09ADEE" w:rsidR="00DE2E1E" w:rsidRPr="006109C6" w:rsidRDefault="00DE2E1E" w:rsidP="00DE2E1E">
      <w:pPr>
        <w:pStyle w:val="ListParagraph"/>
        <w:numPr>
          <w:ilvl w:val="0"/>
          <w:numId w:val="53"/>
        </w:numPr>
        <w:rPr>
          <w:rFonts w:ascii="Arial" w:eastAsia="Times New Roman" w:hAnsi="Arial" w:cs="Arial"/>
          <w:sz w:val="24"/>
          <w:szCs w:val="24"/>
          <w:lang w:eastAsia="en-GB"/>
        </w:rPr>
      </w:pPr>
      <w:r w:rsidRPr="006109C6">
        <w:rPr>
          <w:rFonts w:ascii="Arial" w:eastAsia="Times New Roman" w:hAnsi="Arial" w:cs="Arial"/>
          <w:sz w:val="24"/>
          <w:szCs w:val="24"/>
          <w:lang w:eastAsia="en-GB"/>
        </w:rPr>
        <w:t>The Fair Funding Review, which would have brought about changes to how councils are funded, has been delayed by one year</w:t>
      </w:r>
      <w:r w:rsidR="00CF264B" w:rsidRPr="006109C6">
        <w:rPr>
          <w:rFonts w:ascii="Arial" w:eastAsia="Times New Roman" w:hAnsi="Arial" w:cs="Arial"/>
          <w:sz w:val="24"/>
          <w:szCs w:val="24"/>
          <w:lang w:eastAsia="en-GB"/>
        </w:rPr>
        <w:t xml:space="preserve"> to 1st April 2022</w:t>
      </w:r>
    </w:p>
    <w:p w14:paraId="412BC351" w14:textId="68ACC420" w:rsidR="00DE2E1E" w:rsidRPr="006109C6" w:rsidRDefault="00DE2E1E" w:rsidP="00A96ABE">
      <w:pPr>
        <w:pStyle w:val="ListParagraph"/>
        <w:numPr>
          <w:ilvl w:val="0"/>
          <w:numId w:val="53"/>
        </w:numPr>
        <w:rPr>
          <w:rFonts w:ascii="Arial" w:eastAsia="Times New Roman" w:hAnsi="Arial" w:cs="Arial"/>
          <w:sz w:val="24"/>
          <w:szCs w:val="24"/>
          <w:lang w:eastAsia="en-GB"/>
        </w:rPr>
      </w:pPr>
      <w:r w:rsidRPr="006109C6">
        <w:rPr>
          <w:rFonts w:ascii="Arial" w:eastAsia="Times New Roman" w:hAnsi="Arial" w:cs="Arial"/>
          <w:sz w:val="24"/>
          <w:szCs w:val="24"/>
          <w:lang w:eastAsia="en-GB"/>
        </w:rPr>
        <w:t>The move to 75% retained business rates has also been delayed by one year</w:t>
      </w:r>
      <w:r w:rsidR="00A96ABE" w:rsidRPr="006109C6">
        <w:rPr>
          <w:rFonts w:ascii="Arial" w:eastAsia="Times New Roman" w:hAnsi="Arial" w:cs="Arial"/>
          <w:sz w:val="24"/>
          <w:szCs w:val="24"/>
          <w:lang w:eastAsia="en-GB"/>
        </w:rPr>
        <w:t xml:space="preserve"> to 1st April 2022, leaving Councils to make assumptions about the 2021/22 Business Rates income.</w:t>
      </w:r>
    </w:p>
    <w:p w14:paraId="46ECFA22" w14:textId="05070961" w:rsidR="007348BE" w:rsidRPr="006109C6" w:rsidRDefault="007348BE" w:rsidP="00A96ABE">
      <w:pPr>
        <w:pStyle w:val="ListParagraph"/>
        <w:numPr>
          <w:ilvl w:val="0"/>
          <w:numId w:val="53"/>
        </w:numPr>
        <w:rPr>
          <w:rFonts w:ascii="Arial" w:eastAsia="Times New Roman" w:hAnsi="Arial" w:cs="Arial"/>
          <w:sz w:val="24"/>
          <w:szCs w:val="24"/>
          <w:lang w:eastAsia="en-GB"/>
        </w:rPr>
      </w:pPr>
      <w:r w:rsidRPr="006109C6">
        <w:rPr>
          <w:rFonts w:ascii="Arial" w:eastAsia="Times New Roman" w:hAnsi="Arial" w:cs="Arial"/>
          <w:sz w:val="24"/>
          <w:szCs w:val="24"/>
          <w:lang w:eastAsia="en-GB"/>
        </w:rPr>
        <w:t xml:space="preserve">Revenue Support Grant was due to be phased out in April 2021, alongside the move to 75% retained business rates. </w:t>
      </w:r>
      <w:r w:rsidR="006109C6" w:rsidRPr="006109C6">
        <w:rPr>
          <w:rFonts w:ascii="Arial" w:eastAsia="Times New Roman" w:hAnsi="Arial" w:cs="Arial"/>
          <w:sz w:val="24"/>
          <w:szCs w:val="24"/>
          <w:lang w:eastAsia="en-GB"/>
        </w:rPr>
        <w:t>It was confirmed as part of the provisional Local Government Finance Settlement that Revenue Support Grant is to continue for 2021/22, however, this is expected to be a one-year allocation.</w:t>
      </w:r>
    </w:p>
    <w:p w14:paraId="582F06BA" w14:textId="36CAD9C0" w:rsidR="00DE2E1E" w:rsidRPr="006109C6" w:rsidRDefault="00143B76" w:rsidP="00DE2E1E">
      <w:pPr>
        <w:pStyle w:val="ListParagraph"/>
        <w:numPr>
          <w:ilvl w:val="0"/>
          <w:numId w:val="53"/>
        </w:numPr>
        <w:rPr>
          <w:rFonts w:ascii="Arial" w:eastAsia="Times New Roman" w:hAnsi="Arial" w:cs="Arial"/>
          <w:sz w:val="24"/>
          <w:szCs w:val="24"/>
          <w:lang w:eastAsia="en-GB"/>
        </w:rPr>
      </w:pPr>
      <w:r w:rsidRPr="006109C6">
        <w:rPr>
          <w:rFonts w:ascii="Arial" w:eastAsia="Times New Roman" w:hAnsi="Arial" w:cs="Arial"/>
          <w:sz w:val="24"/>
          <w:szCs w:val="24"/>
          <w:lang w:eastAsia="en-GB"/>
        </w:rPr>
        <w:t>The Chancellor was</w:t>
      </w:r>
      <w:r w:rsidR="00F45A2D" w:rsidRPr="006109C6">
        <w:rPr>
          <w:rFonts w:ascii="Arial" w:eastAsia="Times New Roman" w:hAnsi="Arial" w:cs="Arial"/>
          <w:sz w:val="24"/>
          <w:szCs w:val="24"/>
          <w:lang w:eastAsia="en-GB"/>
        </w:rPr>
        <w:t xml:space="preserve"> set to announce a multi-year Comprehensive Spending Review, which would set departmental budgets for coming years. Due to the pandemic, </w:t>
      </w:r>
      <w:r w:rsidRPr="006109C6">
        <w:rPr>
          <w:rFonts w:ascii="Arial" w:eastAsia="Times New Roman" w:hAnsi="Arial" w:cs="Arial"/>
          <w:sz w:val="24"/>
          <w:szCs w:val="24"/>
          <w:lang w:eastAsia="en-GB"/>
        </w:rPr>
        <w:t>this is now confirmed to be a one-year sett</w:t>
      </w:r>
      <w:r w:rsidR="006109C6" w:rsidRPr="006109C6">
        <w:rPr>
          <w:rFonts w:ascii="Arial" w:eastAsia="Times New Roman" w:hAnsi="Arial" w:cs="Arial"/>
          <w:sz w:val="24"/>
          <w:szCs w:val="24"/>
          <w:lang w:eastAsia="en-GB"/>
        </w:rPr>
        <w:t>lement.</w:t>
      </w:r>
    </w:p>
    <w:p w14:paraId="1AB890F3" w14:textId="173D610D" w:rsidR="00CF264B" w:rsidRPr="006109C6" w:rsidRDefault="006109C6" w:rsidP="00CF264B">
      <w:pPr>
        <w:pStyle w:val="ListParagraph"/>
        <w:numPr>
          <w:ilvl w:val="0"/>
          <w:numId w:val="53"/>
        </w:numPr>
        <w:rPr>
          <w:rFonts w:ascii="Arial" w:eastAsia="Times New Roman" w:hAnsi="Arial" w:cs="Arial"/>
          <w:sz w:val="24"/>
          <w:szCs w:val="24"/>
          <w:lang w:eastAsia="en-GB"/>
        </w:rPr>
      </w:pPr>
      <w:r w:rsidRPr="006109C6">
        <w:rPr>
          <w:rFonts w:ascii="Arial" w:eastAsia="Times New Roman" w:hAnsi="Arial" w:cs="Arial"/>
          <w:sz w:val="24"/>
          <w:szCs w:val="24"/>
          <w:lang w:eastAsia="en-GB"/>
        </w:rPr>
        <w:t xml:space="preserve">It was confirmed as part of the provisional Local Government Finance Settlement that councils are to receive a one-year </w:t>
      </w:r>
      <w:r w:rsidR="00CF264B" w:rsidRPr="006109C6">
        <w:rPr>
          <w:rFonts w:ascii="Arial" w:eastAsia="Times New Roman" w:hAnsi="Arial" w:cs="Arial"/>
          <w:sz w:val="24"/>
          <w:szCs w:val="24"/>
          <w:lang w:eastAsia="en-GB"/>
        </w:rPr>
        <w:t>New Homes Bonus</w:t>
      </w:r>
      <w:r w:rsidRPr="006109C6">
        <w:rPr>
          <w:rFonts w:ascii="Arial" w:eastAsia="Times New Roman" w:hAnsi="Arial" w:cs="Arial"/>
          <w:sz w:val="24"/>
          <w:szCs w:val="24"/>
          <w:lang w:eastAsia="en-GB"/>
        </w:rPr>
        <w:t xml:space="preserve"> allocation for </w:t>
      </w:r>
      <w:r w:rsidR="00CF264B" w:rsidRPr="006109C6">
        <w:rPr>
          <w:rFonts w:ascii="Arial" w:eastAsia="Times New Roman" w:hAnsi="Arial" w:cs="Arial"/>
          <w:sz w:val="24"/>
          <w:szCs w:val="24"/>
          <w:lang w:eastAsia="en-GB"/>
        </w:rPr>
        <w:t>2021/22</w:t>
      </w:r>
      <w:r w:rsidR="00A867DD" w:rsidRPr="006109C6">
        <w:rPr>
          <w:rFonts w:ascii="Arial" w:eastAsia="Times New Roman" w:hAnsi="Arial" w:cs="Arial"/>
          <w:sz w:val="24"/>
          <w:szCs w:val="24"/>
          <w:lang w:eastAsia="en-GB"/>
        </w:rPr>
        <w:t>,</w:t>
      </w:r>
      <w:r w:rsidR="00CF264B" w:rsidRPr="006109C6">
        <w:rPr>
          <w:rFonts w:ascii="Arial" w:eastAsia="Times New Roman" w:hAnsi="Arial" w:cs="Arial"/>
          <w:sz w:val="24"/>
          <w:szCs w:val="24"/>
          <w:lang w:eastAsia="en-GB"/>
        </w:rPr>
        <w:t xml:space="preserve"> </w:t>
      </w:r>
      <w:r w:rsidRPr="006109C6">
        <w:rPr>
          <w:rFonts w:ascii="Arial" w:eastAsia="Times New Roman" w:hAnsi="Arial" w:cs="Arial"/>
          <w:sz w:val="24"/>
          <w:szCs w:val="24"/>
          <w:lang w:eastAsia="en-GB"/>
        </w:rPr>
        <w:t>however, there will be no “legacy payments” in future years as part of this allocation. It</w:t>
      </w:r>
      <w:r w:rsidR="00CF264B" w:rsidRPr="006109C6">
        <w:rPr>
          <w:rFonts w:ascii="Arial" w:eastAsia="Times New Roman" w:hAnsi="Arial" w:cs="Arial"/>
          <w:sz w:val="24"/>
          <w:szCs w:val="24"/>
          <w:lang w:eastAsia="en-GB"/>
        </w:rPr>
        <w:t xml:space="preserve"> is likely to be rolled into any new system</w:t>
      </w:r>
      <w:r w:rsidR="00A16911" w:rsidRPr="006109C6">
        <w:rPr>
          <w:rFonts w:ascii="Arial" w:eastAsia="Times New Roman" w:hAnsi="Arial" w:cs="Arial"/>
          <w:sz w:val="24"/>
          <w:szCs w:val="24"/>
          <w:lang w:eastAsia="en-GB"/>
        </w:rPr>
        <w:t xml:space="preserve"> of local government funding</w:t>
      </w:r>
      <w:r w:rsidR="00CF264B" w:rsidRPr="006109C6">
        <w:rPr>
          <w:rFonts w:ascii="Arial" w:eastAsia="Times New Roman" w:hAnsi="Arial" w:cs="Arial"/>
          <w:sz w:val="24"/>
          <w:szCs w:val="24"/>
          <w:lang w:eastAsia="en-GB"/>
        </w:rPr>
        <w:t xml:space="preserve"> from 2022 onwards.</w:t>
      </w:r>
    </w:p>
    <w:p w14:paraId="2B0511D4" w14:textId="77777777" w:rsidR="00B179E3" w:rsidRPr="00A867DD" w:rsidRDefault="00B179E3" w:rsidP="00394E10">
      <w:pPr>
        <w:ind w:left="851" w:hanging="851"/>
        <w:jc w:val="left"/>
        <w:rPr>
          <w:sz w:val="24"/>
          <w:szCs w:val="24"/>
        </w:rPr>
      </w:pPr>
    </w:p>
    <w:p w14:paraId="7C89BC57" w14:textId="77777777" w:rsidR="00FE4615" w:rsidRPr="00B069FC" w:rsidRDefault="00840317" w:rsidP="00394E10">
      <w:pPr>
        <w:ind w:left="851" w:hanging="851"/>
        <w:jc w:val="left"/>
        <w:outlineLvl w:val="0"/>
        <w:rPr>
          <w:b/>
          <w:sz w:val="24"/>
          <w:szCs w:val="24"/>
        </w:rPr>
      </w:pPr>
      <w:r w:rsidRPr="00B069FC">
        <w:rPr>
          <w:b/>
          <w:sz w:val="24"/>
          <w:szCs w:val="24"/>
        </w:rPr>
        <w:t>3.</w:t>
      </w:r>
      <w:r w:rsidR="00791A88" w:rsidRPr="00B069FC">
        <w:rPr>
          <w:b/>
          <w:sz w:val="24"/>
          <w:szCs w:val="24"/>
        </w:rPr>
        <w:t>2</w:t>
      </w:r>
      <w:r w:rsidRPr="00B069FC">
        <w:rPr>
          <w:b/>
          <w:sz w:val="24"/>
          <w:szCs w:val="24"/>
        </w:rPr>
        <w:tab/>
      </w:r>
      <w:r w:rsidR="00D07702" w:rsidRPr="00B069FC">
        <w:rPr>
          <w:b/>
          <w:sz w:val="24"/>
          <w:szCs w:val="24"/>
        </w:rPr>
        <w:t>Financial Context</w:t>
      </w:r>
    </w:p>
    <w:p w14:paraId="4B0B5D00" w14:textId="77777777" w:rsidR="00B65969" w:rsidRPr="00B069FC" w:rsidRDefault="00B65969" w:rsidP="00394E10">
      <w:pPr>
        <w:ind w:left="851" w:hanging="851"/>
        <w:jc w:val="left"/>
        <w:rPr>
          <w:sz w:val="24"/>
          <w:szCs w:val="24"/>
        </w:rPr>
      </w:pPr>
    </w:p>
    <w:p w14:paraId="3C13B8EB" w14:textId="106FDC42" w:rsidR="0022528E" w:rsidRPr="00B069FC" w:rsidRDefault="00394E10" w:rsidP="00394E10">
      <w:pPr>
        <w:ind w:left="851" w:hanging="851"/>
        <w:jc w:val="left"/>
        <w:rPr>
          <w:sz w:val="24"/>
          <w:szCs w:val="24"/>
        </w:rPr>
      </w:pPr>
      <w:r w:rsidRPr="00B069FC">
        <w:rPr>
          <w:sz w:val="24"/>
          <w:szCs w:val="24"/>
        </w:rPr>
        <w:lastRenderedPageBreak/>
        <w:t>3.2.1</w:t>
      </w:r>
      <w:r w:rsidR="002C1198" w:rsidRPr="00B069FC">
        <w:rPr>
          <w:sz w:val="24"/>
          <w:szCs w:val="24"/>
        </w:rPr>
        <w:tab/>
      </w:r>
      <w:r w:rsidR="003F4C71" w:rsidRPr="00B069FC">
        <w:rPr>
          <w:sz w:val="24"/>
          <w:szCs w:val="24"/>
        </w:rPr>
        <w:t xml:space="preserve">The </w:t>
      </w:r>
      <w:r w:rsidR="005019BA" w:rsidRPr="00B069FC">
        <w:rPr>
          <w:sz w:val="24"/>
          <w:szCs w:val="24"/>
        </w:rPr>
        <w:t xml:space="preserve">Chancellor has confirmed that the 2020 </w:t>
      </w:r>
      <w:r w:rsidR="00A96ABE" w:rsidRPr="00B069FC">
        <w:rPr>
          <w:sz w:val="24"/>
          <w:szCs w:val="24"/>
        </w:rPr>
        <w:t xml:space="preserve">Autumn </w:t>
      </w:r>
      <w:r w:rsidR="005019BA" w:rsidRPr="00B069FC">
        <w:rPr>
          <w:sz w:val="24"/>
          <w:szCs w:val="24"/>
        </w:rPr>
        <w:t xml:space="preserve">Budget has been cancelled, due to the Covid-19 pandemic and the need to focus resources on dealing with the economic consequences of this. </w:t>
      </w:r>
    </w:p>
    <w:p w14:paraId="75692F2A" w14:textId="04B6ADD2" w:rsidR="0022528E" w:rsidRPr="00B069FC" w:rsidRDefault="0022528E" w:rsidP="00A80D03">
      <w:pPr>
        <w:jc w:val="left"/>
        <w:rPr>
          <w:sz w:val="24"/>
          <w:szCs w:val="24"/>
        </w:rPr>
      </w:pPr>
    </w:p>
    <w:p w14:paraId="0DFBAB89" w14:textId="4FA17404" w:rsidR="002C1198" w:rsidRDefault="0022528E" w:rsidP="0022528E">
      <w:pPr>
        <w:ind w:left="851" w:hanging="851"/>
        <w:jc w:val="left"/>
        <w:rPr>
          <w:sz w:val="24"/>
          <w:szCs w:val="24"/>
        </w:rPr>
      </w:pPr>
      <w:r w:rsidRPr="00B069FC">
        <w:rPr>
          <w:sz w:val="24"/>
          <w:szCs w:val="24"/>
        </w:rPr>
        <w:t>3.2.2</w:t>
      </w:r>
      <w:r w:rsidRPr="00B069FC">
        <w:rPr>
          <w:sz w:val="24"/>
          <w:szCs w:val="24"/>
        </w:rPr>
        <w:tab/>
      </w:r>
      <w:r w:rsidR="00B069FC" w:rsidRPr="00B069FC">
        <w:rPr>
          <w:sz w:val="24"/>
          <w:szCs w:val="24"/>
        </w:rPr>
        <w:t>It was also</w:t>
      </w:r>
      <w:r w:rsidR="00143B76" w:rsidRPr="00B069FC">
        <w:rPr>
          <w:sz w:val="24"/>
          <w:szCs w:val="24"/>
        </w:rPr>
        <w:t xml:space="preserve"> confirmed that the </w:t>
      </w:r>
      <w:r w:rsidR="005019BA" w:rsidRPr="00B069FC">
        <w:rPr>
          <w:sz w:val="24"/>
          <w:szCs w:val="24"/>
        </w:rPr>
        <w:t>Spending Review 2020</w:t>
      </w:r>
      <w:r w:rsidR="00143B76" w:rsidRPr="00B069FC">
        <w:rPr>
          <w:sz w:val="24"/>
          <w:szCs w:val="24"/>
        </w:rPr>
        <w:t xml:space="preserve"> will be a one-year settlement, </w:t>
      </w:r>
      <w:r w:rsidR="00B069FC" w:rsidRPr="00B069FC">
        <w:rPr>
          <w:sz w:val="24"/>
          <w:szCs w:val="24"/>
        </w:rPr>
        <w:t xml:space="preserve">which was </w:t>
      </w:r>
      <w:r w:rsidR="00143B76" w:rsidRPr="00B069FC">
        <w:rPr>
          <w:sz w:val="24"/>
          <w:szCs w:val="24"/>
        </w:rPr>
        <w:t>announced at the end of November 2020</w:t>
      </w:r>
      <w:r w:rsidR="005019BA" w:rsidRPr="00B069FC">
        <w:rPr>
          <w:sz w:val="24"/>
          <w:szCs w:val="24"/>
        </w:rPr>
        <w:t>.</w:t>
      </w:r>
      <w:r w:rsidRPr="00B069FC">
        <w:rPr>
          <w:sz w:val="24"/>
          <w:szCs w:val="24"/>
        </w:rPr>
        <w:t xml:space="preserve"> </w:t>
      </w:r>
    </w:p>
    <w:p w14:paraId="7FEC91E5" w14:textId="31A5F33B" w:rsidR="00B069FC" w:rsidRDefault="00B069FC" w:rsidP="0022528E">
      <w:pPr>
        <w:ind w:left="851" w:hanging="851"/>
        <w:jc w:val="left"/>
        <w:rPr>
          <w:sz w:val="24"/>
          <w:szCs w:val="24"/>
        </w:rPr>
      </w:pPr>
    </w:p>
    <w:p w14:paraId="4670EDC8" w14:textId="321C8172" w:rsidR="00B069FC" w:rsidRDefault="00B069FC" w:rsidP="0022528E">
      <w:pPr>
        <w:ind w:left="851" w:hanging="851"/>
        <w:jc w:val="left"/>
        <w:rPr>
          <w:sz w:val="24"/>
          <w:szCs w:val="24"/>
        </w:rPr>
      </w:pPr>
      <w:r>
        <w:rPr>
          <w:sz w:val="24"/>
          <w:szCs w:val="24"/>
        </w:rPr>
        <w:t>3.2.3</w:t>
      </w:r>
      <w:r>
        <w:rPr>
          <w:sz w:val="24"/>
          <w:szCs w:val="24"/>
        </w:rPr>
        <w:tab/>
        <w:t>The provisional Local Government Finance Settlement, which was announced in December 2020, confirmed that un-</w:t>
      </w:r>
      <w:proofErr w:type="spellStart"/>
      <w:r>
        <w:rPr>
          <w:sz w:val="24"/>
          <w:szCs w:val="24"/>
        </w:rPr>
        <w:t>ringfenced</w:t>
      </w:r>
      <w:proofErr w:type="spellEnd"/>
      <w:r>
        <w:rPr>
          <w:sz w:val="24"/>
          <w:szCs w:val="24"/>
        </w:rPr>
        <w:t xml:space="preserve"> government grant funding, Revenue Support Grant, would continue for another year. </w:t>
      </w:r>
      <w:r w:rsidRPr="00B069FC">
        <w:rPr>
          <w:sz w:val="24"/>
          <w:szCs w:val="24"/>
        </w:rPr>
        <w:t xml:space="preserve">This benefits Mansfield District Council as its un-ring fenced grant was due to stop in 2019/20, but was rolled forward into 2020/21 as part of the one-year Spending Review in 2019.  </w:t>
      </w:r>
    </w:p>
    <w:p w14:paraId="0A9EC42A" w14:textId="07D83942" w:rsidR="00B069FC" w:rsidRDefault="00B069FC" w:rsidP="0022528E">
      <w:pPr>
        <w:ind w:left="851" w:hanging="851"/>
        <w:jc w:val="left"/>
        <w:rPr>
          <w:sz w:val="24"/>
          <w:szCs w:val="24"/>
        </w:rPr>
      </w:pPr>
    </w:p>
    <w:p w14:paraId="0D193CB9" w14:textId="5087D532" w:rsidR="00B069FC" w:rsidRPr="00B069FC" w:rsidRDefault="00B069FC" w:rsidP="0022528E">
      <w:pPr>
        <w:ind w:left="851" w:hanging="851"/>
        <w:jc w:val="left"/>
        <w:rPr>
          <w:sz w:val="24"/>
          <w:szCs w:val="24"/>
        </w:rPr>
      </w:pPr>
      <w:r>
        <w:rPr>
          <w:sz w:val="24"/>
          <w:szCs w:val="24"/>
        </w:rPr>
        <w:t>3.2.4</w:t>
      </w:r>
      <w:r>
        <w:rPr>
          <w:sz w:val="24"/>
          <w:szCs w:val="24"/>
        </w:rPr>
        <w:tab/>
        <w:t>Alongside the continuation of Revenue Support Grant, central government have also confirmed that New Homes Bonus funding will continue for another year, and a new un-</w:t>
      </w:r>
      <w:proofErr w:type="spellStart"/>
      <w:r>
        <w:rPr>
          <w:sz w:val="24"/>
          <w:szCs w:val="24"/>
        </w:rPr>
        <w:t>ringfenced</w:t>
      </w:r>
      <w:proofErr w:type="spellEnd"/>
      <w:r>
        <w:rPr>
          <w:sz w:val="24"/>
          <w:szCs w:val="24"/>
        </w:rPr>
        <w:t xml:space="preserve"> grant, Lower Tier Services Grant, is being introduced. It is expected that these allocations are for one year only, as the Fair Funding Review is still expected to take place in the coming year, which would change the way councils are funded from April 2022. </w:t>
      </w:r>
    </w:p>
    <w:p w14:paraId="7D18B951" w14:textId="060ACCCA" w:rsidR="000069CC" w:rsidRPr="00A867DD" w:rsidRDefault="000069CC" w:rsidP="00B069FC">
      <w:pPr>
        <w:rPr>
          <w:rFonts w:cs="Arial"/>
          <w:sz w:val="24"/>
          <w:szCs w:val="24"/>
        </w:rPr>
      </w:pPr>
    </w:p>
    <w:p w14:paraId="388A5808" w14:textId="01E25296" w:rsidR="000069CC" w:rsidRPr="00A867DD" w:rsidRDefault="003F1D28" w:rsidP="00394E10">
      <w:pPr>
        <w:autoSpaceDE w:val="0"/>
        <w:autoSpaceDN w:val="0"/>
        <w:adjustRightInd w:val="0"/>
        <w:ind w:left="851" w:hanging="851"/>
        <w:jc w:val="left"/>
        <w:rPr>
          <w:rFonts w:cs="Arial"/>
          <w:color w:val="000000"/>
          <w:sz w:val="24"/>
          <w:szCs w:val="24"/>
        </w:rPr>
      </w:pPr>
      <w:r w:rsidRPr="00A867DD">
        <w:rPr>
          <w:rFonts w:cs="Arial"/>
          <w:color w:val="000000"/>
          <w:sz w:val="24"/>
          <w:szCs w:val="24"/>
        </w:rPr>
        <w:t>3.2.</w:t>
      </w:r>
      <w:r w:rsidR="00B069FC">
        <w:rPr>
          <w:rFonts w:cs="Arial"/>
          <w:color w:val="000000"/>
          <w:sz w:val="24"/>
          <w:szCs w:val="24"/>
        </w:rPr>
        <w:t>5</w:t>
      </w:r>
      <w:r w:rsidRPr="00A867DD">
        <w:rPr>
          <w:rFonts w:cs="Arial"/>
          <w:color w:val="000000"/>
          <w:sz w:val="24"/>
          <w:szCs w:val="24"/>
        </w:rPr>
        <w:tab/>
        <w:t>This</w:t>
      </w:r>
      <w:r w:rsidR="000069CC" w:rsidRPr="00A867DD">
        <w:rPr>
          <w:rFonts w:cs="Arial"/>
          <w:color w:val="000000"/>
          <w:sz w:val="24"/>
          <w:szCs w:val="24"/>
        </w:rPr>
        <w:t xml:space="preserve"> budget supports the Council’s priorities communicated in </w:t>
      </w:r>
      <w:r w:rsidR="00A867DD" w:rsidRPr="00A867DD">
        <w:rPr>
          <w:rFonts w:cs="Arial"/>
          <w:color w:val="000000"/>
          <w:sz w:val="24"/>
          <w:szCs w:val="24"/>
        </w:rPr>
        <w:t>its</w:t>
      </w:r>
      <w:r w:rsidR="000069CC" w:rsidRPr="00A867DD">
        <w:rPr>
          <w:rFonts w:cs="Arial"/>
          <w:color w:val="000000"/>
          <w:sz w:val="24"/>
          <w:szCs w:val="24"/>
        </w:rPr>
        <w:t xml:space="preserve"> </w:t>
      </w:r>
      <w:r w:rsidR="00A867DD" w:rsidRPr="00A867DD">
        <w:rPr>
          <w:rFonts w:cs="Arial"/>
          <w:color w:val="000000"/>
          <w:sz w:val="24"/>
          <w:szCs w:val="24"/>
        </w:rPr>
        <w:t xml:space="preserve">strategy </w:t>
      </w:r>
      <w:r w:rsidR="00A867DD" w:rsidRPr="00A867DD">
        <w:rPr>
          <w:rFonts w:cs="Arial"/>
          <w:b/>
          <w:color w:val="000000"/>
          <w:sz w:val="24"/>
          <w:szCs w:val="24"/>
        </w:rPr>
        <w:t>“</w:t>
      </w:r>
      <w:r w:rsidR="00206E68" w:rsidRPr="00A867DD">
        <w:rPr>
          <w:rFonts w:cs="Arial"/>
          <w:b/>
          <w:color w:val="000000"/>
          <w:sz w:val="24"/>
          <w:szCs w:val="24"/>
        </w:rPr>
        <w:t>Towards 2030; A Strategy for Mansfield</w:t>
      </w:r>
      <w:r w:rsidR="00A867DD" w:rsidRPr="00A867DD">
        <w:rPr>
          <w:rFonts w:cs="Arial"/>
          <w:b/>
          <w:color w:val="000000"/>
          <w:sz w:val="24"/>
          <w:szCs w:val="24"/>
        </w:rPr>
        <w:t>”</w:t>
      </w:r>
      <w:r w:rsidR="000069CC" w:rsidRPr="00A867DD">
        <w:rPr>
          <w:rFonts w:cs="Arial"/>
          <w:color w:val="000000"/>
          <w:sz w:val="24"/>
          <w:szCs w:val="24"/>
        </w:rPr>
        <w:t>, and identifies its financial implications. It shows the approach the Council will take in order to deliver its services and priorities within its financial constraints and in doing so, how it will look to provide value for money.</w:t>
      </w:r>
    </w:p>
    <w:p w14:paraId="2E5FEB45" w14:textId="77777777" w:rsidR="000069CC" w:rsidRPr="00A867DD" w:rsidRDefault="000069CC" w:rsidP="000069CC">
      <w:pPr>
        <w:autoSpaceDE w:val="0"/>
        <w:autoSpaceDN w:val="0"/>
        <w:adjustRightInd w:val="0"/>
        <w:jc w:val="left"/>
        <w:rPr>
          <w:rFonts w:cs="Arial"/>
          <w:color w:val="000000"/>
          <w:sz w:val="24"/>
          <w:szCs w:val="24"/>
        </w:rPr>
      </w:pPr>
    </w:p>
    <w:p w14:paraId="30D19108" w14:textId="77777777" w:rsidR="00D07702" w:rsidRPr="00A867DD" w:rsidRDefault="00D07702" w:rsidP="00F0172B">
      <w:pPr>
        <w:ind w:left="720" w:hanging="720"/>
        <w:rPr>
          <w:rFonts w:cs="Arial"/>
          <w:sz w:val="24"/>
          <w:szCs w:val="24"/>
        </w:rPr>
      </w:pPr>
    </w:p>
    <w:p w14:paraId="72B5A703" w14:textId="77777777" w:rsidR="00EE3A3F" w:rsidRPr="00A867DD" w:rsidRDefault="00791A88" w:rsidP="00394E10">
      <w:pPr>
        <w:ind w:left="851" w:hanging="851"/>
        <w:jc w:val="left"/>
        <w:outlineLvl w:val="0"/>
        <w:rPr>
          <w:b/>
          <w:sz w:val="24"/>
          <w:szCs w:val="24"/>
        </w:rPr>
      </w:pPr>
      <w:r w:rsidRPr="00A867DD">
        <w:rPr>
          <w:b/>
          <w:sz w:val="24"/>
          <w:szCs w:val="24"/>
        </w:rPr>
        <w:t>3.3</w:t>
      </w:r>
      <w:r w:rsidRPr="00A867DD">
        <w:rPr>
          <w:b/>
          <w:sz w:val="24"/>
          <w:szCs w:val="24"/>
        </w:rPr>
        <w:tab/>
      </w:r>
      <w:r w:rsidR="007B2C4B" w:rsidRPr="00A867DD">
        <w:rPr>
          <w:b/>
          <w:sz w:val="24"/>
          <w:szCs w:val="24"/>
        </w:rPr>
        <w:t xml:space="preserve">Economic Context </w:t>
      </w:r>
    </w:p>
    <w:p w14:paraId="3DD50664" w14:textId="77777777" w:rsidR="00742125" w:rsidRPr="00A867DD" w:rsidRDefault="00742125" w:rsidP="00394E10">
      <w:pPr>
        <w:ind w:left="851" w:hanging="851"/>
        <w:jc w:val="left"/>
        <w:rPr>
          <w:sz w:val="24"/>
          <w:szCs w:val="24"/>
        </w:rPr>
      </w:pPr>
    </w:p>
    <w:p w14:paraId="7E52735D" w14:textId="094BA5A0" w:rsidR="005D5093" w:rsidRPr="00A867DD" w:rsidRDefault="00F0172B" w:rsidP="00394E10">
      <w:pPr>
        <w:pStyle w:val="ListParagraph"/>
        <w:spacing w:after="0"/>
        <w:ind w:left="851" w:hanging="851"/>
        <w:rPr>
          <w:rFonts w:ascii="Arial" w:hAnsi="Arial" w:cs="Arial"/>
          <w:sz w:val="24"/>
          <w:szCs w:val="24"/>
        </w:rPr>
      </w:pPr>
      <w:r w:rsidRPr="00A867DD">
        <w:rPr>
          <w:rFonts w:ascii="Arial" w:hAnsi="Arial" w:cs="Arial"/>
          <w:sz w:val="24"/>
          <w:szCs w:val="24"/>
        </w:rPr>
        <w:t>3.3.1</w:t>
      </w:r>
      <w:r w:rsidRPr="00A867DD">
        <w:rPr>
          <w:rFonts w:ascii="Arial" w:hAnsi="Arial" w:cs="Arial"/>
          <w:sz w:val="24"/>
          <w:szCs w:val="24"/>
        </w:rPr>
        <w:tab/>
      </w:r>
      <w:r w:rsidR="005D5093" w:rsidRPr="00A867DD">
        <w:rPr>
          <w:rFonts w:ascii="Arial" w:hAnsi="Arial" w:cs="Arial"/>
          <w:sz w:val="24"/>
          <w:szCs w:val="24"/>
        </w:rPr>
        <w:t>The UK left the European Union on 31</w:t>
      </w:r>
      <w:r w:rsidR="005D5093" w:rsidRPr="00A867DD">
        <w:rPr>
          <w:rFonts w:ascii="Arial" w:hAnsi="Arial" w:cs="Arial"/>
          <w:sz w:val="24"/>
          <w:szCs w:val="24"/>
          <w:vertAlign w:val="superscript"/>
        </w:rPr>
        <w:t>st</w:t>
      </w:r>
      <w:r w:rsidR="005D5093" w:rsidRPr="00A867DD">
        <w:rPr>
          <w:rFonts w:ascii="Arial" w:hAnsi="Arial" w:cs="Arial"/>
          <w:sz w:val="24"/>
          <w:szCs w:val="24"/>
        </w:rPr>
        <w:t xml:space="preserve"> January 2020, with the calendar year 2020 being a “transition period”, in which the UK remains in both the EU customs union and single market, continuing to follow EU rules and regulations. The UK has been in talks with the EU to agree the relationship between the two </w:t>
      </w:r>
      <w:r w:rsidR="008823FA" w:rsidRPr="00A867DD">
        <w:rPr>
          <w:rFonts w:ascii="Arial" w:hAnsi="Arial" w:cs="Arial"/>
          <w:sz w:val="24"/>
          <w:szCs w:val="24"/>
        </w:rPr>
        <w:t>institutions going forward. How this will impact specifically on Mansfield District Council and its residents is still unclear at the time of writing this report.</w:t>
      </w:r>
    </w:p>
    <w:p w14:paraId="60BDC1A3" w14:textId="76B149C5" w:rsidR="00D9767C" w:rsidRPr="00A867DD" w:rsidRDefault="00D9767C" w:rsidP="008823FA">
      <w:pPr>
        <w:rPr>
          <w:rFonts w:cs="Arial"/>
          <w:sz w:val="24"/>
          <w:szCs w:val="24"/>
        </w:rPr>
      </w:pPr>
    </w:p>
    <w:p w14:paraId="6ABA7A61" w14:textId="0A6808F9" w:rsidR="00D9767C" w:rsidRPr="00A867DD" w:rsidRDefault="00394E10" w:rsidP="00394E10">
      <w:pPr>
        <w:pStyle w:val="ListParagraph"/>
        <w:spacing w:after="0"/>
        <w:ind w:left="851" w:hanging="851"/>
        <w:rPr>
          <w:rFonts w:ascii="Arial" w:hAnsi="Arial" w:cs="Arial"/>
          <w:sz w:val="24"/>
          <w:szCs w:val="24"/>
        </w:rPr>
      </w:pPr>
      <w:r w:rsidRPr="00A867DD">
        <w:rPr>
          <w:rFonts w:ascii="Arial" w:hAnsi="Arial" w:cs="Arial"/>
          <w:sz w:val="24"/>
          <w:szCs w:val="24"/>
        </w:rPr>
        <w:lastRenderedPageBreak/>
        <w:t>3.3.2</w:t>
      </w:r>
      <w:r w:rsidR="00D9767C" w:rsidRPr="00A867DD">
        <w:rPr>
          <w:rFonts w:ascii="Arial" w:hAnsi="Arial" w:cs="Arial"/>
          <w:sz w:val="24"/>
          <w:szCs w:val="24"/>
        </w:rPr>
        <w:tab/>
        <w:t xml:space="preserve">No provision has been made in the budget for costs that might be incurred as a result of </w:t>
      </w:r>
      <w:proofErr w:type="spellStart"/>
      <w:r w:rsidR="00D9767C" w:rsidRPr="00A867DD">
        <w:rPr>
          <w:rFonts w:ascii="Arial" w:hAnsi="Arial" w:cs="Arial"/>
          <w:sz w:val="24"/>
          <w:szCs w:val="24"/>
        </w:rPr>
        <w:t>Brexit</w:t>
      </w:r>
      <w:proofErr w:type="spellEnd"/>
      <w:r w:rsidR="00D9767C" w:rsidRPr="00A867DD">
        <w:rPr>
          <w:rFonts w:ascii="Arial" w:hAnsi="Arial" w:cs="Arial"/>
          <w:sz w:val="24"/>
          <w:szCs w:val="24"/>
        </w:rPr>
        <w:t>; should there be any significant impact on the Council’s resources as a result, this will be addressed at that time.</w:t>
      </w:r>
      <w:r w:rsidR="00054514" w:rsidRPr="00A867DD">
        <w:rPr>
          <w:rFonts w:ascii="Arial" w:hAnsi="Arial" w:cs="Arial"/>
          <w:sz w:val="24"/>
          <w:szCs w:val="24"/>
        </w:rPr>
        <w:t xml:space="preserve">  Central Government </w:t>
      </w:r>
      <w:r w:rsidR="00110088" w:rsidRPr="00A867DD">
        <w:rPr>
          <w:rFonts w:ascii="Arial" w:hAnsi="Arial" w:cs="Arial"/>
          <w:sz w:val="24"/>
          <w:szCs w:val="24"/>
        </w:rPr>
        <w:t xml:space="preserve">have made available a grant of £35,000 to the Council to meet any costs associated with </w:t>
      </w:r>
      <w:proofErr w:type="spellStart"/>
      <w:r w:rsidR="00BA3378" w:rsidRPr="00A867DD">
        <w:rPr>
          <w:rFonts w:ascii="Arial" w:hAnsi="Arial" w:cs="Arial"/>
          <w:sz w:val="24"/>
          <w:szCs w:val="24"/>
        </w:rPr>
        <w:t>Brexit</w:t>
      </w:r>
      <w:proofErr w:type="spellEnd"/>
      <w:r w:rsidR="00110088" w:rsidRPr="00A867DD">
        <w:rPr>
          <w:rFonts w:ascii="Arial" w:hAnsi="Arial" w:cs="Arial"/>
          <w:sz w:val="24"/>
          <w:szCs w:val="24"/>
        </w:rPr>
        <w:t>.</w:t>
      </w:r>
    </w:p>
    <w:p w14:paraId="542CFC6B" w14:textId="5CDC650B" w:rsidR="008823FA" w:rsidRPr="00A867DD" w:rsidRDefault="008823FA" w:rsidP="00394E10">
      <w:pPr>
        <w:pStyle w:val="ListParagraph"/>
        <w:spacing w:after="0"/>
        <w:ind w:left="851" w:hanging="851"/>
        <w:rPr>
          <w:rFonts w:ascii="Arial" w:hAnsi="Arial" w:cs="Arial"/>
          <w:sz w:val="24"/>
          <w:szCs w:val="24"/>
        </w:rPr>
      </w:pPr>
    </w:p>
    <w:p w14:paraId="0E1D3E7A" w14:textId="1E5A1C11" w:rsidR="008823FA" w:rsidRPr="00A867DD" w:rsidRDefault="008823FA" w:rsidP="00394E10">
      <w:pPr>
        <w:pStyle w:val="ListParagraph"/>
        <w:spacing w:after="0"/>
        <w:ind w:left="851" w:hanging="851"/>
        <w:rPr>
          <w:rFonts w:ascii="Arial" w:hAnsi="Arial" w:cs="Arial"/>
          <w:sz w:val="24"/>
          <w:szCs w:val="24"/>
        </w:rPr>
      </w:pPr>
      <w:r w:rsidRPr="00A867DD">
        <w:rPr>
          <w:rFonts w:ascii="Arial" w:hAnsi="Arial" w:cs="Arial"/>
          <w:sz w:val="24"/>
          <w:szCs w:val="24"/>
        </w:rPr>
        <w:t>3.3.3</w:t>
      </w:r>
      <w:r w:rsidRPr="00A867DD">
        <w:rPr>
          <w:rFonts w:ascii="Arial" w:hAnsi="Arial" w:cs="Arial"/>
          <w:sz w:val="24"/>
          <w:szCs w:val="24"/>
        </w:rPr>
        <w:tab/>
        <w:t xml:space="preserve">The Covid-19 pandemic and national lockdown strongly impacted the UK from March 2020, with </w:t>
      </w:r>
      <w:r w:rsidR="00BD56E7">
        <w:rPr>
          <w:rFonts w:ascii="Arial" w:hAnsi="Arial" w:cs="Arial"/>
          <w:sz w:val="24"/>
          <w:szCs w:val="24"/>
        </w:rPr>
        <w:t xml:space="preserve">a further national lockdown taking place in November, and </w:t>
      </w:r>
      <w:r w:rsidRPr="00A867DD">
        <w:rPr>
          <w:rFonts w:ascii="Arial" w:hAnsi="Arial" w:cs="Arial"/>
          <w:sz w:val="24"/>
          <w:szCs w:val="24"/>
        </w:rPr>
        <w:t xml:space="preserve">local lockdowns of varying degrees still required throughout the UK at the time of writing. </w:t>
      </w:r>
      <w:r w:rsidR="00A80D03" w:rsidRPr="00A867DD">
        <w:rPr>
          <w:rFonts w:ascii="Arial" w:hAnsi="Arial" w:cs="Arial"/>
          <w:sz w:val="24"/>
          <w:szCs w:val="24"/>
        </w:rPr>
        <w:t xml:space="preserve">Throughout the financial year, Central and Local Government have worked together to distribute required grants to businesses  </w:t>
      </w:r>
    </w:p>
    <w:p w14:paraId="0EF5D839" w14:textId="77777777" w:rsidR="00885F82" w:rsidRPr="00A867DD" w:rsidRDefault="00885F82" w:rsidP="00394E10">
      <w:pPr>
        <w:pStyle w:val="ListParagraph"/>
        <w:spacing w:after="0"/>
        <w:ind w:left="851" w:hanging="851"/>
        <w:rPr>
          <w:rFonts w:ascii="Arial" w:hAnsi="Arial" w:cs="Arial"/>
          <w:sz w:val="24"/>
          <w:szCs w:val="24"/>
        </w:rPr>
      </w:pPr>
    </w:p>
    <w:p w14:paraId="0874B54A" w14:textId="4BBCF433" w:rsidR="00885F82" w:rsidRPr="00A867DD" w:rsidRDefault="003F1D28" w:rsidP="00394E10">
      <w:pPr>
        <w:pStyle w:val="ListParagraph"/>
        <w:spacing w:after="0"/>
        <w:ind w:left="851" w:hanging="851"/>
        <w:rPr>
          <w:rFonts w:ascii="Arial" w:hAnsi="Arial" w:cs="Arial"/>
          <w:sz w:val="24"/>
          <w:szCs w:val="24"/>
        </w:rPr>
      </w:pPr>
      <w:r w:rsidRPr="00A867DD">
        <w:rPr>
          <w:rFonts w:ascii="Arial" w:hAnsi="Arial" w:cs="Arial"/>
          <w:sz w:val="24"/>
          <w:szCs w:val="24"/>
        </w:rPr>
        <w:t>3.3.</w:t>
      </w:r>
      <w:r w:rsidR="009D10A5">
        <w:rPr>
          <w:rFonts w:ascii="Arial" w:hAnsi="Arial" w:cs="Arial"/>
          <w:sz w:val="24"/>
          <w:szCs w:val="24"/>
        </w:rPr>
        <w:t>4</w:t>
      </w:r>
      <w:r w:rsidRPr="00A867DD">
        <w:rPr>
          <w:rFonts w:ascii="Arial" w:hAnsi="Arial" w:cs="Arial"/>
          <w:sz w:val="24"/>
          <w:szCs w:val="24"/>
        </w:rPr>
        <w:tab/>
      </w:r>
      <w:r w:rsidR="00885F82" w:rsidRPr="00A867DD">
        <w:rPr>
          <w:rFonts w:ascii="Arial" w:hAnsi="Arial" w:cs="Arial"/>
          <w:sz w:val="24"/>
          <w:szCs w:val="24"/>
        </w:rPr>
        <w:t>As part of the Council’s longer term service and budget planning, account needs to be taken of the impact of a range of options which might affect the national, regional and local economies.  The effect on interest rates, inflation and value of sterling will be felt by the Council, local residents and businesses.</w:t>
      </w:r>
    </w:p>
    <w:p w14:paraId="005B7C4D" w14:textId="77777777" w:rsidR="00F0172B" w:rsidRPr="00A867DD" w:rsidRDefault="00F0172B" w:rsidP="00394E10">
      <w:pPr>
        <w:pStyle w:val="ListParagraph"/>
        <w:spacing w:after="0"/>
        <w:ind w:left="851" w:hanging="851"/>
        <w:rPr>
          <w:rFonts w:ascii="Arial" w:hAnsi="Arial" w:cs="Arial"/>
          <w:sz w:val="24"/>
          <w:szCs w:val="24"/>
        </w:rPr>
      </w:pPr>
    </w:p>
    <w:p w14:paraId="50BC5416" w14:textId="28E5F91C" w:rsidR="00F0172B" w:rsidRPr="00A867DD" w:rsidRDefault="00F0172B" w:rsidP="00394E10">
      <w:pPr>
        <w:pStyle w:val="ListParagraph"/>
        <w:spacing w:after="0"/>
        <w:ind w:left="851" w:hanging="851"/>
        <w:rPr>
          <w:rFonts w:ascii="Arial" w:hAnsi="Arial" w:cs="Arial"/>
          <w:sz w:val="24"/>
          <w:szCs w:val="24"/>
        </w:rPr>
      </w:pPr>
      <w:r w:rsidRPr="00A867DD">
        <w:rPr>
          <w:rFonts w:ascii="Arial" w:hAnsi="Arial" w:cs="Arial"/>
          <w:sz w:val="24"/>
          <w:szCs w:val="24"/>
        </w:rPr>
        <w:t>3.3.</w:t>
      </w:r>
      <w:r w:rsidR="009D10A5">
        <w:rPr>
          <w:rFonts w:ascii="Arial" w:hAnsi="Arial" w:cs="Arial"/>
          <w:sz w:val="24"/>
          <w:szCs w:val="24"/>
        </w:rPr>
        <w:t>5</w:t>
      </w:r>
      <w:r w:rsidRPr="00A867DD">
        <w:rPr>
          <w:rFonts w:ascii="Arial" w:hAnsi="Arial" w:cs="Arial"/>
          <w:sz w:val="24"/>
          <w:szCs w:val="24"/>
        </w:rPr>
        <w:tab/>
        <w:t xml:space="preserve">The Bank of England base </w:t>
      </w:r>
      <w:r w:rsidR="004269EC" w:rsidRPr="00A867DD">
        <w:rPr>
          <w:rFonts w:ascii="Arial" w:hAnsi="Arial" w:cs="Arial"/>
          <w:sz w:val="24"/>
          <w:szCs w:val="24"/>
        </w:rPr>
        <w:t>dropped to a historic low level of 0.1% in March</w:t>
      </w:r>
      <w:r w:rsidR="003F662C" w:rsidRPr="00A867DD">
        <w:rPr>
          <w:rFonts w:ascii="Arial" w:hAnsi="Arial" w:cs="Arial"/>
          <w:sz w:val="24"/>
          <w:szCs w:val="24"/>
        </w:rPr>
        <w:t xml:space="preserve"> 2020</w:t>
      </w:r>
      <w:r w:rsidR="004269EC" w:rsidRPr="00A867DD">
        <w:rPr>
          <w:rFonts w:ascii="Arial" w:hAnsi="Arial" w:cs="Arial"/>
          <w:sz w:val="24"/>
          <w:szCs w:val="24"/>
        </w:rPr>
        <w:t xml:space="preserve">, in response to the Covid-19 pandemic and subsequent national lockdown. Prior to this, the base </w:t>
      </w:r>
      <w:r w:rsidRPr="00A867DD">
        <w:rPr>
          <w:rFonts w:ascii="Arial" w:hAnsi="Arial" w:cs="Arial"/>
          <w:sz w:val="24"/>
          <w:szCs w:val="24"/>
        </w:rPr>
        <w:t xml:space="preserve">rate </w:t>
      </w:r>
      <w:r w:rsidR="00A06C14" w:rsidRPr="00A867DD">
        <w:rPr>
          <w:rFonts w:ascii="Arial" w:hAnsi="Arial" w:cs="Arial"/>
          <w:sz w:val="24"/>
          <w:szCs w:val="24"/>
        </w:rPr>
        <w:t>ha</w:t>
      </w:r>
      <w:r w:rsidR="004269EC" w:rsidRPr="00A867DD">
        <w:rPr>
          <w:rFonts w:ascii="Arial" w:hAnsi="Arial" w:cs="Arial"/>
          <w:sz w:val="24"/>
          <w:szCs w:val="24"/>
        </w:rPr>
        <w:t>d</w:t>
      </w:r>
      <w:r w:rsidR="00A06C14" w:rsidRPr="00A867DD">
        <w:rPr>
          <w:rFonts w:ascii="Arial" w:hAnsi="Arial" w:cs="Arial"/>
          <w:sz w:val="24"/>
          <w:szCs w:val="24"/>
        </w:rPr>
        <w:t xml:space="preserve"> been at</w:t>
      </w:r>
      <w:r w:rsidRPr="00A867DD">
        <w:rPr>
          <w:rFonts w:ascii="Arial" w:hAnsi="Arial" w:cs="Arial"/>
          <w:sz w:val="24"/>
          <w:szCs w:val="24"/>
        </w:rPr>
        <w:t xml:space="preserve"> 0.</w:t>
      </w:r>
      <w:r w:rsidR="00FD0462" w:rsidRPr="00A867DD">
        <w:rPr>
          <w:rFonts w:ascii="Arial" w:hAnsi="Arial" w:cs="Arial"/>
          <w:sz w:val="24"/>
          <w:szCs w:val="24"/>
        </w:rPr>
        <w:t>7</w:t>
      </w:r>
      <w:r w:rsidRPr="00A867DD">
        <w:rPr>
          <w:rFonts w:ascii="Arial" w:hAnsi="Arial" w:cs="Arial"/>
          <w:sz w:val="24"/>
          <w:szCs w:val="24"/>
        </w:rPr>
        <w:t xml:space="preserve">5% </w:t>
      </w:r>
      <w:r w:rsidR="00A06C14" w:rsidRPr="00A867DD">
        <w:rPr>
          <w:rFonts w:ascii="Arial" w:hAnsi="Arial" w:cs="Arial"/>
          <w:sz w:val="24"/>
          <w:szCs w:val="24"/>
        </w:rPr>
        <w:t xml:space="preserve">since </w:t>
      </w:r>
      <w:r w:rsidR="00B65C59" w:rsidRPr="00A867DD">
        <w:rPr>
          <w:rFonts w:ascii="Arial" w:hAnsi="Arial" w:cs="Arial"/>
          <w:sz w:val="24"/>
          <w:szCs w:val="24"/>
        </w:rPr>
        <w:t xml:space="preserve">1 </w:t>
      </w:r>
      <w:r w:rsidRPr="00A867DD">
        <w:rPr>
          <w:rFonts w:ascii="Arial" w:hAnsi="Arial" w:cs="Arial"/>
          <w:sz w:val="24"/>
          <w:szCs w:val="24"/>
        </w:rPr>
        <w:t xml:space="preserve">August </w:t>
      </w:r>
      <w:r w:rsidR="00FD0462" w:rsidRPr="00A867DD">
        <w:rPr>
          <w:rFonts w:ascii="Arial" w:hAnsi="Arial" w:cs="Arial"/>
          <w:sz w:val="24"/>
          <w:szCs w:val="24"/>
        </w:rPr>
        <w:t>2018</w:t>
      </w:r>
      <w:r w:rsidRPr="00A867DD">
        <w:rPr>
          <w:rFonts w:ascii="Arial" w:hAnsi="Arial" w:cs="Arial"/>
          <w:sz w:val="24"/>
          <w:szCs w:val="24"/>
        </w:rPr>
        <w:t xml:space="preserve">.  The Base Rate is currently not anticipated to increase </w:t>
      </w:r>
      <w:r w:rsidR="00953892" w:rsidRPr="00A867DD">
        <w:rPr>
          <w:rFonts w:ascii="Arial" w:hAnsi="Arial" w:cs="Arial"/>
          <w:sz w:val="24"/>
          <w:szCs w:val="24"/>
        </w:rPr>
        <w:t xml:space="preserve">again </w:t>
      </w:r>
      <w:r w:rsidR="008B7AFF" w:rsidRPr="00A867DD">
        <w:rPr>
          <w:rFonts w:ascii="Arial" w:hAnsi="Arial" w:cs="Arial"/>
          <w:sz w:val="24"/>
          <w:szCs w:val="24"/>
        </w:rPr>
        <w:t xml:space="preserve">for quite some time, with the Bank of England having written to UK banks asking them how ready they are if interest rates were cut to zero or turned negative. </w:t>
      </w:r>
    </w:p>
    <w:p w14:paraId="63F2C016" w14:textId="77777777" w:rsidR="00F0172B" w:rsidRPr="00A867DD" w:rsidRDefault="00F0172B" w:rsidP="00394E10">
      <w:pPr>
        <w:pStyle w:val="ListParagraph"/>
        <w:spacing w:after="0"/>
        <w:ind w:left="851" w:hanging="851"/>
        <w:rPr>
          <w:rFonts w:ascii="Arial" w:hAnsi="Arial" w:cs="Arial"/>
          <w:sz w:val="24"/>
          <w:szCs w:val="24"/>
        </w:rPr>
      </w:pPr>
    </w:p>
    <w:p w14:paraId="72BFEA06" w14:textId="10AD0E95" w:rsidR="00F0172B" w:rsidRPr="00A867DD" w:rsidRDefault="00F0172B" w:rsidP="00394E10">
      <w:pPr>
        <w:pStyle w:val="ListParagraph"/>
        <w:spacing w:after="0"/>
        <w:ind w:left="851" w:hanging="851"/>
        <w:rPr>
          <w:rFonts w:ascii="Arial" w:hAnsi="Arial" w:cs="Arial"/>
          <w:sz w:val="24"/>
          <w:szCs w:val="24"/>
        </w:rPr>
      </w:pPr>
      <w:r w:rsidRPr="00A867DD">
        <w:rPr>
          <w:rFonts w:ascii="Arial" w:hAnsi="Arial" w:cs="Arial"/>
          <w:sz w:val="24"/>
          <w:szCs w:val="24"/>
        </w:rPr>
        <w:t>3.3.</w:t>
      </w:r>
      <w:r w:rsidR="009D10A5">
        <w:rPr>
          <w:rFonts w:ascii="Arial" w:hAnsi="Arial" w:cs="Arial"/>
          <w:sz w:val="24"/>
          <w:szCs w:val="24"/>
        </w:rPr>
        <w:t>6</w:t>
      </w:r>
      <w:r w:rsidRPr="00A867DD">
        <w:rPr>
          <w:rFonts w:ascii="Arial" w:hAnsi="Arial" w:cs="Arial"/>
          <w:sz w:val="24"/>
          <w:szCs w:val="24"/>
        </w:rPr>
        <w:tab/>
        <w:t xml:space="preserve">The Consumer Price Index (CPI), which provides the measure for inflation, </w:t>
      </w:r>
      <w:r w:rsidR="003D3D24" w:rsidRPr="00A867DD">
        <w:rPr>
          <w:rFonts w:ascii="Arial" w:hAnsi="Arial" w:cs="Arial"/>
          <w:sz w:val="24"/>
          <w:szCs w:val="24"/>
        </w:rPr>
        <w:t>was at</w:t>
      </w:r>
      <w:r w:rsidRPr="00A867DD">
        <w:rPr>
          <w:rFonts w:ascii="Arial" w:hAnsi="Arial" w:cs="Arial"/>
          <w:sz w:val="24"/>
          <w:szCs w:val="24"/>
        </w:rPr>
        <w:t xml:space="preserve"> </w:t>
      </w:r>
      <w:r w:rsidR="008B7AFF" w:rsidRPr="00A867DD">
        <w:rPr>
          <w:rFonts w:ascii="Arial" w:hAnsi="Arial" w:cs="Arial"/>
          <w:sz w:val="24"/>
          <w:szCs w:val="24"/>
        </w:rPr>
        <w:t>0</w:t>
      </w:r>
      <w:r w:rsidR="00514264" w:rsidRPr="00A867DD">
        <w:rPr>
          <w:rFonts w:ascii="Arial" w:hAnsi="Arial" w:cs="Arial"/>
          <w:sz w:val="24"/>
          <w:szCs w:val="24"/>
        </w:rPr>
        <w:t>.</w:t>
      </w:r>
      <w:r w:rsidR="008B7AFF" w:rsidRPr="00A867DD">
        <w:rPr>
          <w:rFonts w:ascii="Arial" w:hAnsi="Arial" w:cs="Arial"/>
          <w:sz w:val="24"/>
          <w:szCs w:val="24"/>
        </w:rPr>
        <w:t>5</w:t>
      </w:r>
      <w:r w:rsidRPr="00A867DD">
        <w:rPr>
          <w:rFonts w:ascii="Arial" w:hAnsi="Arial" w:cs="Arial"/>
          <w:sz w:val="24"/>
          <w:szCs w:val="24"/>
        </w:rPr>
        <w:t xml:space="preserve">% at </w:t>
      </w:r>
      <w:r w:rsidR="00514264" w:rsidRPr="00A867DD">
        <w:rPr>
          <w:rFonts w:ascii="Arial" w:hAnsi="Arial" w:cs="Arial"/>
          <w:sz w:val="24"/>
          <w:szCs w:val="24"/>
        </w:rPr>
        <w:t>August 20</w:t>
      </w:r>
      <w:r w:rsidR="008B7AFF" w:rsidRPr="00A867DD">
        <w:rPr>
          <w:rFonts w:ascii="Arial" w:hAnsi="Arial" w:cs="Arial"/>
          <w:sz w:val="24"/>
          <w:szCs w:val="24"/>
        </w:rPr>
        <w:t>20. However, this percentage was impacted by falling priced in restaurants and cafés, arising from the government’s Eat Out to Help Out scheme, which aimed to encourage people back to eating out, after the hospitality sector was shut down in the national lockdown</w:t>
      </w:r>
      <w:r w:rsidR="003D3D24" w:rsidRPr="00A867DD">
        <w:rPr>
          <w:rFonts w:ascii="Arial" w:hAnsi="Arial" w:cs="Arial"/>
          <w:sz w:val="24"/>
          <w:szCs w:val="24"/>
        </w:rPr>
        <w:t>.</w:t>
      </w:r>
      <w:r w:rsidRPr="00A867DD">
        <w:rPr>
          <w:rFonts w:ascii="Arial" w:hAnsi="Arial" w:cs="Arial"/>
          <w:sz w:val="24"/>
          <w:szCs w:val="24"/>
        </w:rPr>
        <w:t xml:space="preserve">  The </w:t>
      </w:r>
      <w:r w:rsidR="00AB5E57" w:rsidRPr="00A867DD">
        <w:rPr>
          <w:rFonts w:ascii="Arial" w:hAnsi="Arial" w:cs="Arial"/>
          <w:sz w:val="24"/>
          <w:szCs w:val="24"/>
        </w:rPr>
        <w:t xml:space="preserve">Bank of England </w:t>
      </w:r>
      <w:r w:rsidR="00CF1213" w:rsidRPr="00A867DD">
        <w:rPr>
          <w:rFonts w:ascii="Arial" w:hAnsi="Arial" w:cs="Arial"/>
          <w:sz w:val="24"/>
          <w:szCs w:val="24"/>
        </w:rPr>
        <w:t>Monetary Policy</w:t>
      </w:r>
      <w:r w:rsidR="00AB5E57" w:rsidRPr="00A867DD">
        <w:rPr>
          <w:rFonts w:ascii="Arial" w:hAnsi="Arial" w:cs="Arial"/>
          <w:sz w:val="24"/>
          <w:szCs w:val="24"/>
        </w:rPr>
        <w:t xml:space="preserve"> Report (</w:t>
      </w:r>
      <w:r w:rsidR="00CF1213" w:rsidRPr="00A867DD">
        <w:rPr>
          <w:rFonts w:ascii="Arial" w:hAnsi="Arial" w:cs="Arial"/>
          <w:sz w:val="24"/>
          <w:szCs w:val="24"/>
        </w:rPr>
        <w:t>August 2020</w:t>
      </w:r>
      <w:r w:rsidR="00AB5E57" w:rsidRPr="00A867DD">
        <w:rPr>
          <w:rFonts w:ascii="Arial" w:hAnsi="Arial" w:cs="Arial"/>
          <w:sz w:val="24"/>
          <w:szCs w:val="24"/>
        </w:rPr>
        <w:t>)</w:t>
      </w:r>
      <w:r w:rsidR="00885F82" w:rsidRPr="00A867DD">
        <w:rPr>
          <w:rFonts w:ascii="Arial" w:hAnsi="Arial" w:cs="Arial"/>
          <w:sz w:val="24"/>
          <w:szCs w:val="24"/>
        </w:rPr>
        <w:t xml:space="preserve"> </w:t>
      </w:r>
      <w:r w:rsidR="00CF1213" w:rsidRPr="00A867DD">
        <w:rPr>
          <w:rFonts w:ascii="Arial" w:hAnsi="Arial" w:cs="Arial"/>
          <w:sz w:val="24"/>
          <w:szCs w:val="24"/>
        </w:rPr>
        <w:t xml:space="preserve">states that the Bank will take further action to help the economy recover, and return inflation to the target level of 2%. </w:t>
      </w:r>
    </w:p>
    <w:p w14:paraId="22C16BDC" w14:textId="77777777" w:rsidR="00203263" w:rsidRPr="00656AD3" w:rsidRDefault="00203263">
      <w:pPr>
        <w:jc w:val="left"/>
        <w:rPr>
          <w:b/>
          <w:sz w:val="24"/>
          <w:szCs w:val="24"/>
        </w:rPr>
      </w:pPr>
    </w:p>
    <w:p w14:paraId="71539509" w14:textId="77777777" w:rsidR="004E54C2" w:rsidRDefault="004E54C2">
      <w:pPr>
        <w:jc w:val="left"/>
        <w:rPr>
          <w:b/>
          <w:sz w:val="24"/>
          <w:szCs w:val="24"/>
        </w:rPr>
      </w:pPr>
    </w:p>
    <w:p w14:paraId="36721B45" w14:textId="77777777" w:rsidR="00D76229" w:rsidRDefault="00D76229">
      <w:pPr>
        <w:jc w:val="left"/>
        <w:rPr>
          <w:b/>
          <w:sz w:val="24"/>
          <w:szCs w:val="24"/>
        </w:rPr>
      </w:pPr>
    </w:p>
    <w:p w14:paraId="0356DA95" w14:textId="77777777" w:rsidR="00D76229" w:rsidRDefault="00D76229">
      <w:pPr>
        <w:jc w:val="left"/>
        <w:rPr>
          <w:b/>
          <w:sz w:val="24"/>
          <w:szCs w:val="24"/>
        </w:rPr>
      </w:pPr>
    </w:p>
    <w:p w14:paraId="0D92066A" w14:textId="77777777" w:rsidR="00D76229" w:rsidRDefault="00D76229">
      <w:pPr>
        <w:jc w:val="left"/>
        <w:rPr>
          <w:b/>
          <w:sz w:val="24"/>
          <w:szCs w:val="24"/>
        </w:rPr>
      </w:pPr>
    </w:p>
    <w:p w14:paraId="68C2416F" w14:textId="360C3675" w:rsidR="00206E68" w:rsidRDefault="00394E10">
      <w:pPr>
        <w:jc w:val="left"/>
        <w:rPr>
          <w:b/>
          <w:sz w:val="24"/>
          <w:szCs w:val="24"/>
        </w:rPr>
      </w:pPr>
      <w:r>
        <w:rPr>
          <w:b/>
          <w:sz w:val="24"/>
          <w:szCs w:val="24"/>
        </w:rPr>
        <w:t>3.4</w:t>
      </w:r>
      <w:r>
        <w:rPr>
          <w:b/>
          <w:sz w:val="24"/>
          <w:szCs w:val="24"/>
        </w:rPr>
        <w:tab/>
      </w:r>
      <w:r w:rsidR="00206E68">
        <w:rPr>
          <w:b/>
          <w:sz w:val="24"/>
          <w:szCs w:val="24"/>
        </w:rPr>
        <w:t>General Fund</w:t>
      </w:r>
    </w:p>
    <w:p w14:paraId="7F551C62" w14:textId="77777777" w:rsidR="00206E68" w:rsidRDefault="00206E68">
      <w:pPr>
        <w:jc w:val="left"/>
        <w:rPr>
          <w:b/>
          <w:sz w:val="24"/>
          <w:szCs w:val="24"/>
        </w:rPr>
      </w:pPr>
    </w:p>
    <w:p w14:paraId="7F2ECC5D" w14:textId="77777777" w:rsidR="00C56FAB" w:rsidRPr="00243580" w:rsidRDefault="00E55E6B" w:rsidP="0073669D">
      <w:pPr>
        <w:ind w:left="851" w:hanging="851"/>
        <w:jc w:val="left"/>
        <w:rPr>
          <w:b/>
          <w:sz w:val="24"/>
          <w:szCs w:val="24"/>
        </w:rPr>
      </w:pPr>
      <w:r w:rsidRPr="00656AD3">
        <w:rPr>
          <w:b/>
          <w:sz w:val="24"/>
          <w:szCs w:val="24"/>
        </w:rPr>
        <w:t>3.</w:t>
      </w:r>
      <w:r w:rsidR="00E500A8">
        <w:rPr>
          <w:b/>
          <w:sz w:val="24"/>
          <w:szCs w:val="24"/>
        </w:rPr>
        <w:t>4.</w:t>
      </w:r>
      <w:r w:rsidR="00DF553C">
        <w:rPr>
          <w:b/>
          <w:sz w:val="24"/>
          <w:szCs w:val="24"/>
        </w:rPr>
        <w:t>1</w:t>
      </w:r>
      <w:r w:rsidR="00FD10AF" w:rsidRPr="00656AD3">
        <w:rPr>
          <w:b/>
          <w:sz w:val="24"/>
          <w:szCs w:val="24"/>
        </w:rPr>
        <w:tab/>
      </w:r>
      <w:r w:rsidR="007927D9">
        <w:rPr>
          <w:b/>
          <w:sz w:val="24"/>
          <w:szCs w:val="24"/>
        </w:rPr>
        <w:t>General Fund</w:t>
      </w:r>
      <w:r w:rsidR="007927D9" w:rsidRPr="00656AD3">
        <w:rPr>
          <w:b/>
          <w:sz w:val="24"/>
          <w:szCs w:val="24"/>
        </w:rPr>
        <w:t xml:space="preserve"> </w:t>
      </w:r>
      <w:r w:rsidR="00014D0A" w:rsidRPr="00656AD3">
        <w:rPr>
          <w:b/>
          <w:sz w:val="24"/>
          <w:szCs w:val="24"/>
        </w:rPr>
        <w:t>P</w:t>
      </w:r>
      <w:r w:rsidR="00C56FAB" w:rsidRPr="00656AD3">
        <w:rPr>
          <w:b/>
          <w:sz w:val="24"/>
          <w:szCs w:val="24"/>
        </w:rPr>
        <w:t xml:space="preserve">roposed </w:t>
      </w:r>
      <w:r w:rsidR="00014D0A" w:rsidRPr="00656AD3">
        <w:rPr>
          <w:b/>
          <w:sz w:val="24"/>
          <w:szCs w:val="24"/>
        </w:rPr>
        <w:t>Budgets</w:t>
      </w:r>
      <w:r w:rsidR="007927D9">
        <w:rPr>
          <w:b/>
          <w:sz w:val="24"/>
          <w:szCs w:val="24"/>
        </w:rPr>
        <w:t xml:space="preserve">, </w:t>
      </w:r>
      <w:r w:rsidR="00243580" w:rsidRPr="00243580">
        <w:rPr>
          <w:b/>
          <w:sz w:val="24"/>
          <w:szCs w:val="24"/>
        </w:rPr>
        <w:t>2021/22 to 2023/24</w:t>
      </w:r>
    </w:p>
    <w:p w14:paraId="41631A39" w14:textId="77777777" w:rsidR="00506028" w:rsidRPr="00656AD3" w:rsidRDefault="00506028" w:rsidP="0073669D">
      <w:pPr>
        <w:ind w:left="851" w:hanging="851"/>
        <w:jc w:val="left"/>
        <w:rPr>
          <w:sz w:val="24"/>
          <w:szCs w:val="24"/>
        </w:rPr>
      </w:pPr>
    </w:p>
    <w:p w14:paraId="12B92CEC" w14:textId="2552023C" w:rsidR="00E53785" w:rsidRPr="00E33107" w:rsidRDefault="00502549" w:rsidP="006700E0">
      <w:pPr>
        <w:ind w:left="851" w:hanging="851"/>
        <w:jc w:val="left"/>
        <w:rPr>
          <w:sz w:val="24"/>
          <w:szCs w:val="24"/>
        </w:rPr>
      </w:pPr>
      <w:r w:rsidRPr="00656AD3">
        <w:rPr>
          <w:sz w:val="24"/>
          <w:szCs w:val="24"/>
        </w:rPr>
        <w:t>3.</w:t>
      </w:r>
      <w:r w:rsidR="00E500A8">
        <w:rPr>
          <w:sz w:val="24"/>
          <w:szCs w:val="24"/>
        </w:rPr>
        <w:t>4.</w:t>
      </w:r>
      <w:r w:rsidR="00DF553C">
        <w:rPr>
          <w:sz w:val="24"/>
          <w:szCs w:val="24"/>
        </w:rPr>
        <w:t>1</w:t>
      </w:r>
      <w:r w:rsidRPr="00656AD3">
        <w:rPr>
          <w:sz w:val="24"/>
          <w:szCs w:val="24"/>
        </w:rPr>
        <w:t>.1</w:t>
      </w:r>
      <w:r w:rsidRPr="00656AD3">
        <w:rPr>
          <w:sz w:val="24"/>
          <w:szCs w:val="24"/>
        </w:rPr>
        <w:tab/>
      </w:r>
      <w:r w:rsidR="00692568">
        <w:rPr>
          <w:sz w:val="24"/>
          <w:szCs w:val="24"/>
        </w:rPr>
        <w:t>Appendix</w:t>
      </w:r>
      <w:r w:rsidR="00C82960" w:rsidRPr="00E33107">
        <w:rPr>
          <w:sz w:val="24"/>
          <w:szCs w:val="24"/>
        </w:rPr>
        <w:t xml:space="preserve"> </w:t>
      </w:r>
      <w:r w:rsidR="00054514" w:rsidRPr="00E33107">
        <w:rPr>
          <w:sz w:val="24"/>
          <w:szCs w:val="24"/>
        </w:rPr>
        <w:t>1</w:t>
      </w:r>
      <w:r w:rsidR="00274D59" w:rsidRPr="00E33107">
        <w:rPr>
          <w:sz w:val="24"/>
          <w:szCs w:val="24"/>
        </w:rPr>
        <w:t xml:space="preserve"> </w:t>
      </w:r>
      <w:r w:rsidR="00C82960" w:rsidRPr="00E33107">
        <w:rPr>
          <w:sz w:val="24"/>
          <w:szCs w:val="24"/>
        </w:rPr>
        <w:t xml:space="preserve">shows the base budget projected for each of the Council’s </w:t>
      </w:r>
      <w:r w:rsidR="00477A6D" w:rsidRPr="00E33107">
        <w:rPr>
          <w:sz w:val="24"/>
          <w:szCs w:val="24"/>
        </w:rPr>
        <w:t>D</w:t>
      </w:r>
      <w:r w:rsidR="00E81C96" w:rsidRPr="00E33107">
        <w:rPr>
          <w:sz w:val="24"/>
          <w:szCs w:val="24"/>
        </w:rPr>
        <w:t>irectorates</w:t>
      </w:r>
      <w:r w:rsidR="00243580">
        <w:rPr>
          <w:sz w:val="24"/>
          <w:szCs w:val="24"/>
        </w:rPr>
        <w:t xml:space="preserve"> for the 2021/22, 2022</w:t>
      </w:r>
      <w:r w:rsidR="00775F72" w:rsidRPr="00E33107">
        <w:rPr>
          <w:sz w:val="24"/>
          <w:szCs w:val="24"/>
        </w:rPr>
        <w:t>/2</w:t>
      </w:r>
      <w:r w:rsidR="00243580">
        <w:rPr>
          <w:sz w:val="24"/>
          <w:szCs w:val="24"/>
        </w:rPr>
        <w:t>3</w:t>
      </w:r>
      <w:r w:rsidR="00775F72" w:rsidRPr="00E33107">
        <w:rPr>
          <w:sz w:val="24"/>
          <w:szCs w:val="24"/>
        </w:rPr>
        <w:t xml:space="preserve"> and 202</w:t>
      </w:r>
      <w:r w:rsidR="00243580">
        <w:rPr>
          <w:sz w:val="24"/>
          <w:szCs w:val="24"/>
        </w:rPr>
        <w:t>3</w:t>
      </w:r>
      <w:r w:rsidR="00775F72" w:rsidRPr="00E33107">
        <w:rPr>
          <w:sz w:val="24"/>
          <w:szCs w:val="24"/>
        </w:rPr>
        <w:t>/2</w:t>
      </w:r>
      <w:r w:rsidR="00243580">
        <w:rPr>
          <w:sz w:val="24"/>
          <w:szCs w:val="24"/>
        </w:rPr>
        <w:t>4</w:t>
      </w:r>
      <w:r w:rsidR="00775F72" w:rsidRPr="00E33107">
        <w:rPr>
          <w:sz w:val="24"/>
          <w:szCs w:val="24"/>
        </w:rPr>
        <w:t xml:space="preserve"> financial years (along with the latest approved budget for the current fi</w:t>
      </w:r>
      <w:r w:rsidR="00243580">
        <w:rPr>
          <w:sz w:val="24"/>
          <w:szCs w:val="24"/>
        </w:rPr>
        <w:t>nancial year, 2020</w:t>
      </w:r>
      <w:r w:rsidR="00775F72" w:rsidRPr="00E33107">
        <w:rPr>
          <w:sz w:val="24"/>
          <w:szCs w:val="24"/>
        </w:rPr>
        <w:t>/2</w:t>
      </w:r>
      <w:r w:rsidR="00243580">
        <w:rPr>
          <w:sz w:val="24"/>
          <w:szCs w:val="24"/>
        </w:rPr>
        <w:t>1</w:t>
      </w:r>
      <w:r w:rsidR="00775F72" w:rsidRPr="00E33107">
        <w:rPr>
          <w:sz w:val="24"/>
          <w:szCs w:val="24"/>
        </w:rPr>
        <w:t>)</w:t>
      </w:r>
      <w:r w:rsidR="00C82960" w:rsidRPr="00E33107">
        <w:rPr>
          <w:sz w:val="24"/>
          <w:szCs w:val="24"/>
        </w:rPr>
        <w:t>.</w:t>
      </w:r>
      <w:r w:rsidR="006700E0">
        <w:rPr>
          <w:sz w:val="24"/>
          <w:szCs w:val="24"/>
        </w:rPr>
        <w:t xml:space="preserve"> </w:t>
      </w:r>
    </w:p>
    <w:p w14:paraId="2747DCEC" w14:textId="562C7E27" w:rsidR="002017BD" w:rsidRPr="00656AD3" w:rsidRDefault="002017BD" w:rsidP="006700E0">
      <w:pPr>
        <w:rPr>
          <w:sz w:val="24"/>
          <w:szCs w:val="24"/>
        </w:rPr>
      </w:pPr>
    </w:p>
    <w:p w14:paraId="0AF31E2F" w14:textId="4BA66A5C" w:rsidR="004E3A16" w:rsidRPr="00E33107" w:rsidRDefault="00791A88" w:rsidP="0073669D">
      <w:pPr>
        <w:ind w:left="851" w:hanging="851"/>
        <w:jc w:val="left"/>
        <w:rPr>
          <w:sz w:val="24"/>
          <w:szCs w:val="24"/>
        </w:rPr>
      </w:pPr>
      <w:r w:rsidRPr="00656AD3">
        <w:rPr>
          <w:sz w:val="24"/>
          <w:szCs w:val="24"/>
        </w:rPr>
        <w:t>3.</w:t>
      </w:r>
      <w:r w:rsidR="00E500A8">
        <w:rPr>
          <w:sz w:val="24"/>
          <w:szCs w:val="24"/>
        </w:rPr>
        <w:t>4.</w:t>
      </w:r>
      <w:r w:rsidR="00DF553C">
        <w:rPr>
          <w:sz w:val="24"/>
          <w:szCs w:val="24"/>
        </w:rPr>
        <w:t>1</w:t>
      </w:r>
      <w:r w:rsidRPr="00656AD3">
        <w:rPr>
          <w:sz w:val="24"/>
          <w:szCs w:val="24"/>
        </w:rPr>
        <w:t>.2</w:t>
      </w:r>
      <w:r w:rsidRPr="00656AD3">
        <w:rPr>
          <w:sz w:val="24"/>
          <w:szCs w:val="24"/>
        </w:rPr>
        <w:tab/>
      </w:r>
      <w:r w:rsidR="00692568">
        <w:rPr>
          <w:sz w:val="24"/>
          <w:szCs w:val="24"/>
        </w:rPr>
        <w:t>Appendix</w:t>
      </w:r>
      <w:r w:rsidR="00FA1885" w:rsidRPr="00E33107">
        <w:rPr>
          <w:sz w:val="24"/>
          <w:szCs w:val="24"/>
        </w:rPr>
        <w:t xml:space="preserve"> </w:t>
      </w:r>
      <w:r w:rsidR="00054514" w:rsidRPr="00E33107">
        <w:rPr>
          <w:sz w:val="24"/>
          <w:szCs w:val="24"/>
        </w:rPr>
        <w:t>1</w:t>
      </w:r>
      <w:r w:rsidR="00412105">
        <w:rPr>
          <w:sz w:val="24"/>
          <w:szCs w:val="24"/>
        </w:rPr>
        <w:t xml:space="preserve"> shows a balanced</w:t>
      </w:r>
      <w:r w:rsidR="00FA1885" w:rsidRPr="00E33107">
        <w:rPr>
          <w:sz w:val="24"/>
          <w:szCs w:val="24"/>
        </w:rPr>
        <w:t xml:space="preserve"> General Fund revenue budget for </w:t>
      </w:r>
      <w:r w:rsidR="003A1017">
        <w:rPr>
          <w:sz w:val="24"/>
          <w:szCs w:val="24"/>
        </w:rPr>
        <w:t>2021/22</w:t>
      </w:r>
      <w:r w:rsidR="00FA1885" w:rsidRPr="00E33107">
        <w:rPr>
          <w:sz w:val="24"/>
          <w:szCs w:val="24"/>
        </w:rPr>
        <w:t xml:space="preserve"> with </w:t>
      </w:r>
      <w:r w:rsidR="00412105" w:rsidRPr="00E33107">
        <w:rPr>
          <w:sz w:val="24"/>
          <w:szCs w:val="24"/>
        </w:rPr>
        <w:t xml:space="preserve">annual </w:t>
      </w:r>
      <w:r w:rsidR="00412105">
        <w:rPr>
          <w:sz w:val="24"/>
          <w:szCs w:val="24"/>
        </w:rPr>
        <w:t>rising deficits</w:t>
      </w:r>
      <w:r w:rsidR="00412105" w:rsidRPr="00E33107">
        <w:rPr>
          <w:sz w:val="24"/>
          <w:szCs w:val="24"/>
        </w:rPr>
        <w:t xml:space="preserve"> </w:t>
      </w:r>
      <w:r w:rsidR="00412105">
        <w:rPr>
          <w:sz w:val="24"/>
          <w:szCs w:val="24"/>
        </w:rPr>
        <w:t>thereafter</w:t>
      </w:r>
      <w:r w:rsidR="00FA1885" w:rsidRPr="00E33107">
        <w:rPr>
          <w:sz w:val="24"/>
          <w:szCs w:val="24"/>
        </w:rPr>
        <w:t>.</w:t>
      </w:r>
      <w:r w:rsidR="008C6DB1" w:rsidRPr="00E33107">
        <w:rPr>
          <w:sz w:val="24"/>
          <w:szCs w:val="24"/>
        </w:rPr>
        <w:t xml:space="preserve">  </w:t>
      </w:r>
    </w:p>
    <w:p w14:paraId="23B080A2" w14:textId="62BB413A" w:rsidR="00246B93" w:rsidRPr="00E33107" w:rsidRDefault="00246B93" w:rsidP="00FD6481">
      <w:pPr>
        <w:rPr>
          <w:sz w:val="24"/>
          <w:szCs w:val="24"/>
        </w:rPr>
      </w:pPr>
    </w:p>
    <w:p w14:paraId="265CCD9F" w14:textId="3F6D616A" w:rsidR="00D53468" w:rsidRPr="00656AD3" w:rsidRDefault="00791A88" w:rsidP="0073669D">
      <w:pPr>
        <w:ind w:left="851" w:hanging="851"/>
        <w:jc w:val="left"/>
        <w:rPr>
          <w:sz w:val="24"/>
          <w:szCs w:val="24"/>
        </w:rPr>
      </w:pPr>
      <w:r w:rsidRPr="00E33107">
        <w:rPr>
          <w:sz w:val="24"/>
          <w:szCs w:val="24"/>
        </w:rPr>
        <w:t>3.</w:t>
      </w:r>
      <w:r w:rsidR="00E500A8" w:rsidRPr="00E33107">
        <w:rPr>
          <w:sz w:val="24"/>
          <w:szCs w:val="24"/>
        </w:rPr>
        <w:t>4.</w:t>
      </w:r>
      <w:r w:rsidR="00DF553C" w:rsidRPr="00E33107">
        <w:rPr>
          <w:sz w:val="24"/>
          <w:szCs w:val="24"/>
        </w:rPr>
        <w:t>1</w:t>
      </w:r>
      <w:r w:rsidR="00412105">
        <w:rPr>
          <w:sz w:val="24"/>
          <w:szCs w:val="24"/>
        </w:rPr>
        <w:t>.3</w:t>
      </w:r>
      <w:r w:rsidRPr="00E33107">
        <w:rPr>
          <w:sz w:val="24"/>
          <w:szCs w:val="24"/>
        </w:rPr>
        <w:tab/>
      </w:r>
      <w:r w:rsidR="00D53468" w:rsidRPr="00E33107">
        <w:rPr>
          <w:sz w:val="24"/>
          <w:szCs w:val="24"/>
        </w:rPr>
        <w:t>The figures contained wi</w:t>
      </w:r>
      <w:r w:rsidR="00692568">
        <w:rPr>
          <w:sz w:val="24"/>
          <w:szCs w:val="24"/>
        </w:rPr>
        <w:t>thin Appendix</w:t>
      </w:r>
      <w:r w:rsidR="00D53468" w:rsidRPr="00E33107">
        <w:rPr>
          <w:sz w:val="24"/>
          <w:szCs w:val="24"/>
        </w:rPr>
        <w:t xml:space="preserve"> </w:t>
      </w:r>
      <w:r w:rsidR="00054514" w:rsidRPr="00E33107">
        <w:rPr>
          <w:sz w:val="24"/>
          <w:szCs w:val="24"/>
        </w:rPr>
        <w:t>1</w:t>
      </w:r>
      <w:r w:rsidR="00D53468" w:rsidRPr="00E33107">
        <w:rPr>
          <w:sz w:val="24"/>
          <w:szCs w:val="24"/>
        </w:rPr>
        <w:t xml:space="preserve"> do not include any service developments put forward by Departments</w:t>
      </w:r>
      <w:r w:rsidR="00D53468" w:rsidRPr="00656AD3">
        <w:rPr>
          <w:sz w:val="24"/>
          <w:szCs w:val="24"/>
        </w:rPr>
        <w:t xml:space="preserve"> and do not include any potential supporting finance from the Council’s balances or earmarked reserves.</w:t>
      </w:r>
    </w:p>
    <w:p w14:paraId="44BE9E27" w14:textId="1426EEFD" w:rsidR="00CB1FC6" w:rsidRPr="00CB1FC6" w:rsidRDefault="00CB1FC6" w:rsidP="00CB1FC6">
      <w:pPr>
        <w:jc w:val="left"/>
        <w:rPr>
          <w:sz w:val="24"/>
          <w:szCs w:val="24"/>
        </w:rPr>
      </w:pPr>
    </w:p>
    <w:p w14:paraId="5FC620C6" w14:textId="77777777" w:rsidR="00775F72" w:rsidRPr="00656AD3" w:rsidRDefault="00775F72" w:rsidP="0073669D">
      <w:pPr>
        <w:ind w:left="851" w:hanging="851"/>
        <w:jc w:val="left"/>
        <w:rPr>
          <w:b/>
          <w:sz w:val="24"/>
          <w:szCs w:val="24"/>
        </w:rPr>
      </w:pPr>
    </w:p>
    <w:p w14:paraId="4EE42744" w14:textId="479B5DBF" w:rsidR="00EA0124" w:rsidRPr="00656AD3" w:rsidRDefault="00EA0124" w:rsidP="0073669D">
      <w:pPr>
        <w:ind w:left="851" w:hanging="851"/>
        <w:jc w:val="left"/>
        <w:outlineLvl w:val="0"/>
        <w:rPr>
          <w:rFonts w:cs="Arial"/>
          <w:b/>
          <w:sz w:val="24"/>
          <w:szCs w:val="24"/>
        </w:rPr>
      </w:pPr>
      <w:r w:rsidRPr="00990FB6">
        <w:rPr>
          <w:rFonts w:cs="Arial"/>
          <w:b/>
          <w:sz w:val="24"/>
          <w:szCs w:val="24"/>
        </w:rPr>
        <w:t>3.</w:t>
      </w:r>
      <w:r w:rsidR="00E500A8" w:rsidRPr="00990FB6">
        <w:rPr>
          <w:rFonts w:cs="Arial"/>
          <w:b/>
          <w:sz w:val="24"/>
          <w:szCs w:val="24"/>
        </w:rPr>
        <w:t>4.</w:t>
      </w:r>
      <w:r w:rsidR="00022AA5">
        <w:rPr>
          <w:rFonts w:cs="Arial"/>
          <w:b/>
          <w:sz w:val="24"/>
          <w:szCs w:val="24"/>
        </w:rPr>
        <w:t>2</w:t>
      </w:r>
      <w:r w:rsidRPr="00990FB6">
        <w:rPr>
          <w:rFonts w:cs="Arial"/>
          <w:b/>
          <w:sz w:val="24"/>
          <w:szCs w:val="24"/>
        </w:rPr>
        <w:tab/>
        <w:t>Proposed Savings and Efficiencies</w:t>
      </w:r>
    </w:p>
    <w:p w14:paraId="21C345A7" w14:textId="77777777" w:rsidR="00EA0124" w:rsidRPr="00656AD3" w:rsidRDefault="00EA0124" w:rsidP="0073669D">
      <w:pPr>
        <w:ind w:left="851" w:hanging="851"/>
        <w:jc w:val="left"/>
        <w:rPr>
          <w:sz w:val="24"/>
          <w:szCs w:val="24"/>
        </w:rPr>
      </w:pPr>
    </w:p>
    <w:p w14:paraId="5B53EB5D" w14:textId="7A9EC713" w:rsidR="00EA0124" w:rsidRDefault="00EA0124" w:rsidP="0073669D">
      <w:pPr>
        <w:pStyle w:val="Default"/>
        <w:ind w:left="851" w:hanging="851"/>
      </w:pPr>
      <w:r w:rsidRPr="00656AD3">
        <w:t>3.</w:t>
      </w:r>
      <w:r w:rsidR="00E500A8">
        <w:t>4.</w:t>
      </w:r>
      <w:r w:rsidR="00022AA5">
        <w:t>2</w:t>
      </w:r>
      <w:r w:rsidR="00E500A8">
        <w:t xml:space="preserve">.1 </w:t>
      </w:r>
      <w:r w:rsidRPr="00656AD3">
        <w:t xml:space="preserve">Mansfield District Council is an ambitious Council committed to continuous improvement and the delivery of better outcomes for its customers, partners, employees and </w:t>
      </w:r>
      <w:r w:rsidR="00DF553C">
        <w:t>m</w:t>
      </w:r>
      <w:r w:rsidR="00DF553C" w:rsidRPr="00656AD3">
        <w:t>embers</w:t>
      </w:r>
      <w:r w:rsidRPr="00656AD3">
        <w:t xml:space="preserve">. </w:t>
      </w:r>
    </w:p>
    <w:p w14:paraId="3D792481" w14:textId="77777777" w:rsidR="00EA0124" w:rsidRPr="00656AD3" w:rsidRDefault="00EA0124" w:rsidP="0073669D">
      <w:pPr>
        <w:pStyle w:val="Default"/>
        <w:ind w:left="851" w:hanging="851"/>
      </w:pPr>
    </w:p>
    <w:p w14:paraId="6B7A3AE8" w14:textId="44167D12" w:rsidR="00EA0124" w:rsidRPr="00656AD3" w:rsidRDefault="00EA0124" w:rsidP="0073669D">
      <w:pPr>
        <w:pStyle w:val="Default"/>
        <w:ind w:left="851" w:hanging="851"/>
      </w:pPr>
      <w:r w:rsidRPr="00656AD3">
        <w:t>3.</w:t>
      </w:r>
      <w:r w:rsidR="00E500A8">
        <w:t>4.</w:t>
      </w:r>
      <w:r w:rsidR="00022AA5">
        <w:t>2</w:t>
      </w:r>
      <w:r w:rsidR="00E500A8">
        <w:t xml:space="preserve">.2 </w:t>
      </w:r>
      <w:r w:rsidRPr="00656AD3">
        <w:t>The Council recognises that the future for local government is one of significant change</w:t>
      </w:r>
      <w:r>
        <w:t>.  Over the last decade the role of Local Authorities has changed significantly, set against a backdrop of reduced grant r</w:t>
      </w:r>
      <w:r w:rsidR="00D9470D">
        <w:t>eceived from Central Government</w:t>
      </w:r>
      <w:r>
        <w:t xml:space="preserve"> that had previously been made available to support Local Authorities in delivering core statutory services</w:t>
      </w:r>
      <w:r w:rsidRPr="00656AD3">
        <w:t xml:space="preserve"> </w:t>
      </w:r>
    </w:p>
    <w:p w14:paraId="4B32D283" w14:textId="77777777" w:rsidR="00EA0124" w:rsidRPr="00656AD3" w:rsidRDefault="00EA0124" w:rsidP="0073669D">
      <w:pPr>
        <w:pStyle w:val="Default"/>
        <w:ind w:left="851" w:hanging="851"/>
      </w:pPr>
    </w:p>
    <w:p w14:paraId="77C2CBB8" w14:textId="3B66DEA2" w:rsidR="005D234F" w:rsidRDefault="00EA0124" w:rsidP="0073669D">
      <w:pPr>
        <w:pStyle w:val="Default"/>
        <w:ind w:left="851" w:hanging="851"/>
      </w:pPr>
      <w:r w:rsidRPr="00656AD3">
        <w:t>3.</w:t>
      </w:r>
      <w:r w:rsidR="00E500A8">
        <w:t>4.</w:t>
      </w:r>
      <w:r w:rsidR="00022AA5">
        <w:t>2</w:t>
      </w:r>
      <w:r w:rsidR="00E500A8">
        <w:t xml:space="preserve">.3 </w:t>
      </w:r>
      <w:r w:rsidRPr="00656AD3">
        <w:t xml:space="preserve">The Council’s Transformation </w:t>
      </w:r>
      <w:r w:rsidR="00DF553C">
        <w:t>Strategy</w:t>
      </w:r>
      <w:r>
        <w:t xml:space="preserve"> recognises that it needs a truly transformational approach that delivers whole Council change based on future demand and self-sufficiency</w:t>
      </w:r>
      <w:r w:rsidR="00990FB6">
        <w:t xml:space="preserve">.  </w:t>
      </w:r>
    </w:p>
    <w:p w14:paraId="070E53C6" w14:textId="77777777" w:rsidR="005D234F" w:rsidRDefault="005D234F" w:rsidP="0073669D">
      <w:pPr>
        <w:pStyle w:val="Default"/>
        <w:ind w:left="851" w:hanging="851"/>
      </w:pPr>
    </w:p>
    <w:p w14:paraId="4BB08535" w14:textId="29738FD9" w:rsidR="00EA0124" w:rsidRPr="00656AD3" w:rsidRDefault="00022AA5" w:rsidP="0073669D">
      <w:pPr>
        <w:pStyle w:val="Default"/>
        <w:ind w:left="851" w:hanging="851"/>
      </w:pPr>
      <w:r>
        <w:lastRenderedPageBreak/>
        <w:t>3.4.2</w:t>
      </w:r>
      <w:r w:rsidR="005D234F" w:rsidRPr="00B64457">
        <w:t>.4</w:t>
      </w:r>
      <w:r w:rsidR="005D234F" w:rsidRPr="00B64457">
        <w:tab/>
      </w:r>
      <w:r w:rsidR="00990FB6" w:rsidRPr="00B64457">
        <w:t>The Council’s approach</w:t>
      </w:r>
      <w:r w:rsidR="00EA0124" w:rsidRPr="00B64457">
        <w:t xml:space="preserve"> is based on </w:t>
      </w:r>
      <w:r w:rsidR="005D234F" w:rsidRPr="00B64457">
        <w:t xml:space="preserve">two </w:t>
      </w:r>
      <w:r w:rsidR="00EA0124" w:rsidRPr="00B64457">
        <w:t>specific themes</w:t>
      </w:r>
      <w:r w:rsidR="00216BA7">
        <w:t>,</w:t>
      </w:r>
      <w:r w:rsidR="005D234F" w:rsidRPr="00B64457">
        <w:t xml:space="preserve"> Improvement and Change and Commercialism</w:t>
      </w:r>
      <w:r w:rsidR="00216BA7">
        <w:t>,</w:t>
      </w:r>
      <w:r w:rsidR="005D234F" w:rsidRPr="00B64457">
        <w:t xml:space="preserve"> facilitated by the cross cutting themes of People First and Finance and Resources.  E</w:t>
      </w:r>
      <w:r w:rsidR="00EA0124" w:rsidRPr="00B64457">
        <w:t xml:space="preserve">ach </w:t>
      </w:r>
      <w:r w:rsidR="005D234F" w:rsidRPr="00B64457">
        <w:t xml:space="preserve">theme has </w:t>
      </w:r>
      <w:r w:rsidR="00EA0124" w:rsidRPr="00B64457">
        <w:t>its own work strands and is illustrated visually below:</w:t>
      </w:r>
      <w:r w:rsidR="00EA0124" w:rsidRPr="00656AD3">
        <w:t xml:space="preserve"> </w:t>
      </w:r>
    </w:p>
    <w:p w14:paraId="4DF31786" w14:textId="77777777" w:rsidR="00EA0124" w:rsidRPr="00656AD3" w:rsidRDefault="00EA0124" w:rsidP="00EA0124">
      <w:pPr>
        <w:pStyle w:val="Default"/>
      </w:pPr>
    </w:p>
    <w:p w14:paraId="01DA3E49" w14:textId="77777777" w:rsidR="00EA0124" w:rsidRPr="00656AD3" w:rsidRDefault="005D234F" w:rsidP="00EA0124">
      <w:pPr>
        <w:pStyle w:val="Default"/>
        <w:ind w:left="709"/>
        <w:rPr>
          <w:sz w:val="20"/>
          <w:szCs w:val="20"/>
        </w:rPr>
      </w:pPr>
      <w:r>
        <w:rPr>
          <w:noProof/>
          <w:sz w:val="20"/>
          <w:szCs w:val="20"/>
        </w:rPr>
        <w:drawing>
          <wp:inline distT="0" distB="0" distL="0" distR="0" wp14:anchorId="320F8EFA" wp14:editId="5054C2B1">
            <wp:extent cx="5391150" cy="4047430"/>
            <wp:effectExtent l="0" t="0" r="0" b="0"/>
            <wp:docPr id="2" name="Picture 2" descr="C:\Users\eallsop\AppData\Local\Microsoft\Windows\Temporary Internet Files\Content.Outlook\DZOA0TZC\Transformation Strategy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llsop\AppData\Local\Microsoft\Windows\Temporary Internet Files\Content.Outlook\DZOA0TZC\Transformation Strategy 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4047430"/>
                    </a:xfrm>
                    <a:prstGeom prst="rect">
                      <a:avLst/>
                    </a:prstGeom>
                    <a:noFill/>
                    <a:ln>
                      <a:noFill/>
                    </a:ln>
                  </pic:spPr>
                </pic:pic>
              </a:graphicData>
            </a:graphic>
          </wp:inline>
        </w:drawing>
      </w:r>
    </w:p>
    <w:p w14:paraId="2C941863" w14:textId="77777777" w:rsidR="00EA0124" w:rsidRDefault="00EA0124" w:rsidP="00EA0124">
      <w:pPr>
        <w:pStyle w:val="Default"/>
      </w:pPr>
    </w:p>
    <w:p w14:paraId="48786BB4" w14:textId="77777777" w:rsidR="005D234F" w:rsidRPr="00656AD3" w:rsidRDefault="005D234F" w:rsidP="00EA0124">
      <w:pPr>
        <w:pStyle w:val="Default"/>
      </w:pPr>
    </w:p>
    <w:p w14:paraId="4EC8ABC9" w14:textId="1FEAE44F" w:rsidR="00EA0124" w:rsidRPr="00656AD3" w:rsidRDefault="00EA0124" w:rsidP="0073669D">
      <w:pPr>
        <w:ind w:left="851" w:hanging="851"/>
        <w:jc w:val="left"/>
        <w:rPr>
          <w:sz w:val="24"/>
          <w:szCs w:val="24"/>
        </w:rPr>
      </w:pPr>
      <w:r w:rsidRPr="00656AD3">
        <w:rPr>
          <w:sz w:val="24"/>
          <w:szCs w:val="24"/>
        </w:rPr>
        <w:t>3.</w:t>
      </w:r>
      <w:r w:rsidR="00B71CA0">
        <w:rPr>
          <w:sz w:val="24"/>
          <w:szCs w:val="24"/>
        </w:rPr>
        <w:t>4.</w:t>
      </w:r>
      <w:r w:rsidR="00022AA5">
        <w:rPr>
          <w:sz w:val="24"/>
          <w:szCs w:val="24"/>
        </w:rPr>
        <w:t>2</w:t>
      </w:r>
      <w:r w:rsidR="00B71CA0">
        <w:rPr>
          <w:sz w:val="24"/>
          <w:szCs w:val="24"/>
        </w:rPr>
        <w:t>.</w:t>
      </w:r>
      <w:r w:rsidR="005D234F">
        <w:rPr>
          <w:sz w:val="24"/>
          <w:szCs w:val="24"/>
        </w:rPr>
        <w:t xml:space="preserve">5 </w:t>
      </w:r>
      <w:r w:rsidRPr="00656AD3">
        <w:rPr>
          <w:sz w:val="24"/>
          <w:szCs w:val="24"/>
        </w:rPr>
        <w:t>The Council is committed to delivering high quality services for its residents a</w:t>
      </w:r>
      <w:r w:rsidR="00990FB6">
        <w:rPr>
          <w:sz w:val="24"/>
          <w:szCs w:val="24"/>
        </w:rPr>
        <w:t>nd to make Mansfield and D</w:t>
      </w:r>
      <w:r w:rsidRPr="00656AD3">
        <w:rPr>
          <w:sz w:val="24"/>
          <w:szCs w:val="24"/>
        </w:rPr>
        <w:t>istrict a place where people want to live</w:t>
      </w:r>
      <w:r w:rsidR="005D234F">
        <w:rPr>
          <w:sz w:val="24"/>
          <w:szCs w:val="24"/>
        </w:rPr>
        <w:t>, visit</w:t>
      </w:r>
      <w:r w:rsidRPr="00656AD3">
        <w:rPr>
          <w:sz w:val="24"/>
          <w:szCs w:val="24"/>
        </w:rPr>
        <w:t xml:space="preserve"> and do business. The Transformation </w:t>
      </w:r>
      <w:r w:rsidR="005D234F">
        <w:rPr>
          <w:sz w:val="24"/>
          <w:szCs w:val="24"/>
        </w:rPr>
        <w:t>Strategy</w:t>
      </w:r>
      <w:r w:rsidR="005D234F" w:rsidRPr="00656AD3">
        <w:rPr>
          <w:sz w:val="24"/>
          <w:szCs w:val="24"/>
        </w:rPr>
        <w:t xml:space="preserve"> </w:t>
      </w:r>
      <w:r w:rsidRPr="00656AD3">
        <w:rPr>
          <w:sz w:val="24"/>
          <w:szCs w:val="24"/>
        </w:rPr>
        <w:t>sets out the approach to be taken to achieve this against th</w:t>
      </w:r>
      <w:r>
        <w:rPr>
          <w:sz w:val="24"/>
          <w:szCs w:val="24"/>
        </w:rPr>
        <w:t>e current</w:t>
      </w:r>
      <w:r w:rsidRPr="00656AD3">
        <w:rPr>
          <w:sz w:val="24"/>
          <w:szCs w:val="24"/>
        </w:rPr>
        <w:t xml:space="preserve"> financial and economic background.</w:t>
      </w:r>
    </w:p>
    <w:p w14:paraId="03731E3B" w14:textId="77777777" w:rsidR="00EA0124" w:rsidRPr="00656AD3" w:rsidRDefault="00EA0124" w:rsidP="0073669D">
      <w:pPr>
        <w:ind w:left="851" w:hanging="851"/>
        <w:jc w:val="left"/>
        <w:rPr>
          <w:sz w:val="24"/>
          <w:szCs w:val="24"/>
        </w:rPr>
      </w:pPr>
    </w:p>
    <w:p w14:paraId="725B7999" w14:textId="7DEFD20F" w:rsidR="00EA0124" w:rsidRPr="00656AD3" w:rsidRDefault="00EA0124" w:rsidP="0073669D">
      <w:pPr>
        <w:ind w:left="851" w:hanging="851"/>
        <w:jc w:val="left"/>
        <w:rPr>
          <w:sz w:val="24"/>
          <w:szCs w:val="24"/>
        </w:rPr>
      </w:pPr>
      <w:r w:rsidRPr="00A867DD">
        <w:rPr>
          <w:sz w:val="24"/>
          <w:szCs w:val="24"/>
        </w:rPr>
        <w:t>3.</w:t>
      </w:r>
      <w:r w:rsidR="00B71CA0" w:rsidRPr="00A867DD">
        <w:rPr>
          <w:sz w:val="24"/>
          <w:szCs w:val="24"/>
        </w:rPr>
        <w:t>4.</w:t>
      </w:r>
      <w:r w:rsidR="00022AA5">
        <w:rPr>
          <w:sz w:val="24"/>
          <w:szCs w:val="24"/>
        </w:rPr>
        <w:t>2</w:t>
      </w:r>
      <w:r w:rsidR="00B71CA0" w:rsidRPr="00A867DD">
        <w:rPr>
          <w:sz w:val="24"/>
          <w:szCs w:val="24"/>
        </w:rPr>
        <w:t>.</w:t>
      </w:r>
      <w:r w:rsidR="005D234F" w:rsidRPr="00A867DD">
        <w:rPr>
          <w:sz w:val="24"/>
          <w:szCs w:val="24"/>
        </w:rPr>
        <w:t xml:space="preserve">6 </w:t>
      </w:r>
      <w:r w:rsidRPr="00A867DD">
        <w:rPr>
          <w:sz w:val="24"/>
          <w:szCs w:val="24"/>
        </w:rPr>
        <w:t xml:space="preserve">The Council will continue to use powers given by the Secretary of State which gives local authorities the freedom to use capital receipts from the sale of their own assets </w:t>
      </w:r>
      <w:r w:rsidRPr="00A867DD">
        <w:rPr>
          <w:sz w:val="24"/>
          <w:szCs w:val="24"/>
        </w:rPr>
        <w:lastRenderedPageBreak/>
        <w:t xml:space="preserve">(excluding Right to Buy receipts) to help fund the revenue costs of transformation projects to release </w:t>
      </w:r>
      <w:r w:rsidR="00990FB6" w:rsidRPr="00A867DD">
        <w:rPr>
          <w:sz w:val="24"/>
          <w:szCs w:val="24"/>
        </w:rPr>
        <w:t xml:space="preserve">on-going </w:t>
      </w:r>
      <w:r w:rsidRPr="00A867DD">
        <w:rPr>
          <w:sz w:val="24"/>
          <w:szCs w:val="24"/>
        </w:rPr>
        <w:t xml:space="preserve">savings. </w:t>
      </w:r>
      <w:r w:rsidR="00990FB6" w:rsidRPr="00A867DD">
        <w:rPr>
          <w:sz w:val="24"/>
          <w:szCs w:val="24"/>
        </w:rPr>
        <w:t xml:space="preserve"> A separate report will</w:t>
      </w:r>
      <w:r w:rsidR="00090EBF">
        <w:rPr>
          <w:sz w:val="24"/>
          <w:szCs w:val="24"/>
        </w:rPr>
        <w:t xml:space="preserve"> be presented to Council on 27</w:t>
      </w:r>
      <w:r w:rsidRPr="00A867DD">
        <w:rPr>
          <w:sz w:val="24"/>
          <w:szCs w:val="24"/>
        </w:rPr>
        <w:t xml:space="preserve"> January 20</w:t>
      </w:r>
      <w:r w:rsidR="00090EBF">
        <w:rPr>
          <w:sz w:val="24"/>
          <w:szCs w:val="24"/>
        </w:rPr>
        <w:t>21</w:t>
      </w:r>
      <w:r w:rsidR="00BA3378" w:rsidRPr="00A867DD">
        <w:rPr>
          <w:sz w:val="24"/>
          <w:szCs w:val="24"/>
        </w:rPr>
        <w:t>. This will be</w:t>
      </w:r>
      <w:r w:rsidRPr="00A867DD">
        <w:rPr>
          <w:sz w:val="24"/>
          <w:szCs w:val="24"/>
        </w:rPr>
        <w:t xml:space="preserve"> for approval around the flexible use of capital receipts by the Council</w:t>
      </w:r>
      <w:r w:rsidR="00D1080D" w:rsidRPr="00A867DD">
        <w:rPr>
          <w:sz w:val="24"/>
          <w:szCs w:val="24"/>
        </w:rPr>
        <w:t>,</w:t>
      </w:r>
      <w:r w:rsidRPr="00A867DD">
        <w:rPr>
          <w:sz w:val="24"/>
          <w:szCs w:val="24"/>
        </w:rPr>
        <w:t xml:space="preserve"> where it is deemed that this is the best option available.</w:t>
      </w:r>
    </w:p>
    <w:p w14:paraId="3A54DD51" w14:textId="77777777" w:rsidR="00EA0124" w:rsidRPr="00656AD3" w:rsidRDefault="00EA0124" w:rsidP="0073669D">
      <w:pPr>
        <w:ind w:left="851" w:hanging="851"/>
        <w:jc w:val="left"/>
        <w:rPr>
          <w:sz w:val="24"/>
          <w:szCs w:val="24"/>
        </w:rPr>
      </w:pPr>
    </w:p>
    <w:p w14:paraId="64BB3448" w14:textId="2B8441A2" w:rsidR="00DF553C" w:rsidRPr="00E33107" w:rsidRDefault="00B71CA0" w:rsidP="00DF553C">
      <w:pPr>
        <w:ind w:left="851" w:hanging="851"/>
        <w:jc w:val="left"/>
        <w:rPr>
          <w:sz w:val="24"/>
          <w:szCs w:val="24"/>
        </w:rPr>
      </w:pPr>
      <w:r w:rsidRPr="00BB7A72">
        <w:rPr>
          <w:sz w:val="24"/>
          <w:szCs w:val="24"/>
        </w:rPr>
        <w:t>3.4.</w:t>
      </w:r>
      <w:r w:rsidR="00022AA5">
        <w:rPr>
          <w:sz w:val="24"/>
          <w:szCs w:val="24"/>
        </w:rPr>
        <w:t>2</w:t>
      </w:r>
      <w:r w:rsidRPr="00BB7A72">
        <w:rPr>
          <w:sz w:val="24"/>
          <w:szCs w:val="24"/>
        </w:rPr>
        <w:t>.</w:t>
      </w:r>
      <w:r w:rsidR="005D234F">
        <w:rPr>
          <w:sz w:val="24"/>
          <w:szCs w:val="24"/>
        </w:rPr>
        <w:t>7</w:t>
      </w:r>
      <w:r w:rsidR="005D234F" w:rsidRPr="00BB7A72">
        <w:rPr>
          <w:sz w:val="24"/>
          <w:szCs w:val="24"/>
        </w:rPr>
        <w:t xml:space="preserve"> </w:t>
      </w:r>
      <w:r w:rsidR="00EA0124" w:rsidRPr="00BB7A72">
        <w:rPr>
          <w:sz w:val="24"/>
          <w:szCs w:val="24"/>
        </w:rPr>
        <w:t xml:space="preserve">Within the Council’s budget </w:t>
      </w:r>
      <w:r w:rsidR="00DD282D" w:rsidRPr="00E33107">
        <w:rPr>
          <w:sz w:val="24"/>
          <w:szCs w:val="24"/>
        </w:rPr>
        <w:t>there are</w:t>
      </w:r>
      <w:r w:rsidR="00EA0124" w:rsidRPr="00E33107">
        <w:rPr>
          <w:sz w:val="24"/>
          <w:szCs w:val="24"/>
        </w:rPr>
        <w:t xml:space="preserve"> transformation savings </w:t>
      </w:r>
      <w:r w:rsidR="00DD282D" w:rsidRPr="00E33107">
        <w:rPr>
          <w:sz w:val="24"/>
          <w:szCs w:val="24"/>
        </w:rPr>
        <w:t>totalling</w:t>
      </w:r>
      <w:r w:rsidR="00EA0124" w:rsidRPr="00E33107">
        <w:rPr>
          <w:sz w:val="24"/>
          <w:szCs w:val="24"/>
        </w:rPr>
        <w:t xml:space="preserve"> £</w:t>
      </w:r>
      <w:r w:rsidR="00DD282D" w:rsidRPr="00E33107">
        <w:rPr>
          <w:sz w:val="24"/>
          <w:szCs w:val="24"/>
        </w:rPr>
        <w:t>1.</w:t>
      </w:r>
      <w:r w:rsidR="009D10A5">
        <w:rPr>
          <w:sz w:val="24"/>
          <w:szCs w:val="24"/>
        </w:rPr>
        <w:t>922</w:t>
      </w:r>
      <w:r w:rsidR="00DD282D" w:rsidRPr="00E33107">
        <w:rPr>
          <w:sz w:val="24"/>
          <w:szCs w:val="24"/>
        </w:rPr>
        <w:t>million</w:t>
      </w:r>
      <w:r w:rsidR="00DF553C" w:rsidRPr="00E33107">
        <w:rPr>
          <w:sz w:val="24"/>
          <w:szCs w:val="24"/>
        </w:rPr>
        <w:t xml:space="preserve"> to be found in 202</w:t>
      </w:r>
      <w:r w:rsidR="009D10A5">
        <w:rPr>
          <w:sz w:val="24"/>
          <w:szCs w:val="24"/>
        </w:rPr>
        <w:t>1</w:t>
      </w:r>
      <w:r w:rsidR="00DF553C" w:rsidRPr="00E33107">
        <w:rPr>
          <w:sz w:val="24"/>
          <w:szCs w:val="24"/>
        </w:rPr>
        <w:t>/2</w:t>
      </w:r>
      <w:r w:rsidR="00F620D3">
        <w:rPr>
          <w:sz w:val="24"/>
          <w:szCs w:val="24"/>
        </w:rPr>
        <w:t>2</w:t>
      </w:r>
      <w:r w:rsidR="00692568">
        <w:rPr>
          <w:sz w:val="24"/>
          <w:szCs w:val="24"/>
        </w:rPr>
        <w:t>, as set out in Appendix</w:t>
      </w:r>
      <w:r w:rsidR="00EA0124" w:rsidRPr="00E33107">
        <w:rPr>
          <w:sz w:val="24"/>
          <w:szCs w:val="24"/>
        </w:rPr>
        <w:t xml:space="preserve"> </w:t>
      </w:r>
      <w:r w:rsidR="00F50776" w:rsidRPr="00E33107">
        <w:rPr>
          <w:sz w:val="24"/>
          <w:szCs w:val="24"/>
        </w:rPr>
        <w:t>1</w:t>
      </w:r>
      <w:r w:rsidR="00DD282D" w:rsidRPr="00E33107">
        <w:rPr>
          <w:sz w:val="24"/>
          <w:szCs w:val="24"/>
        </w:rPr>
        <w:t xml:space="preserve">.  These transformation savings are </w:t>
      </w:r>
      <w:r w:rsidR="00817677" w:rsidRPr="00E33107">
        <w:rPr>
          <w:sz w:val="24"/>
          <w:szCs w:val="24"/>
        </w:rPr>
        <w:t xml:space="preserve">mainly </w:t>
      </w:r>
      <w:r w:rsidR="00DD282D" w:rsidRPr="00E33107">
        <w:rPr>
          <w:sz w:val="24"/>
          <w:szCs w:val="24"/>
        </w:rPr>
        <w:t xml:space="preserve">part of the </w:t>
      </w:r>
      <w:r w:rsidR="00B64457">
        <w:rPr>
          <w:sz w:val="24"/>
          <w:szCs w:val="24"/>
        </w:rPr>
        <w:t>2020</w:t>
      </w:r>
      <w:r w:rsidR="00BB7A72" w:rsidRPr="00E33107">
        <w:rPr>
          <w:sz w:val="24"/>
          <w:szCs w:val="24"/>
        </w:rPr>
        <w:t>/2</w:t>
      </w:r>
      <w:r w:rsidR="00B64457">
        <w:rPr>
          <w:sz w:val="24"/>
          <w:szCs w:val="24"/>
        </w:rPr>
        <w:t xml:space="preserve">1 </w:t>
      </w:r>
      <w:r w:rsidR="00BB7A72" w:rsidRPr="00E33107">
        <w:rPr>
          <w:sz w:val="24"/>
          <w:szCs w:val="24"/>
        </w:rPr>
        <w:t xml:space="preserve">budget, and work is </w:t>
      </w:r>
      <w:r w:rsidR="00990FB6" w:rsidRPr="00E33107">
        <w:rPr>
          <w:sz w:val="24"/>
          <w:szCs w:val="24"/>
        </w:rPr>
        <w:t xml:space="preserve">currently </w:t>
      </w:r>
      <w:r w:rsidR="00BB7A72" w:rsidRPr="00E33107">
        <w:rPr>
          <w:sz w:val="24"/>
          <w:szCs w:val="24"/>
        </w:rPr>
        <w:t>on-going to either reduce the Council’s expenditure</w:t>
      </w:r>
      <w:r w:rsidR="00CD4680">
        <w:rPr>
          <w:sz w:val="24"/>
          <w:szCs w:val="24"/>
        </w:rPr>
        <w:t>, through a reduction in its establishment and ongoing transformation projects,</w:t>
      </w:r>
      <w:r w:rsidR="00BB7A72" w:rsidRPr="00E33107">
        <w:rPr>
          <w:sz w:val="24"/>
          <w:szCs w:val="24"/>
        </w:rPr>
        <w:t xml:space="preserve"> or generate additional income; as these savings are identified it will reduce the level</w:t>
      </w:r>
      <w:r w:rsidR="00990FB6" w:rsidRPr="00E33107">
        <w:rPr>
          <w:sz w:val="24"/>
          <w:szCs w:val="24"/>
        </w:rPr>
        <w:t xml:space="preserve"> of savings that need to be identified</w:t>
      </w:r>
      <w:r w:rsidR="00BB7A72" w:rsidRPr="00E33107">
        <w:rPr>
          <w:sz w:val="24"/>
          <w:szCs w:val="24"/>
        </w:rPr>
        <w:t xml:space="preserve"> for future years.</w:t>
      </w:r>
      <w:r w:rsidR="00DF553C" w:rsidRPr="00E33107">
        <w:rPr>
          <w:sz w:val="24"/>
          <w:szCs w:val="24"/>
        </w:rPr>
        <w:t xml:space="preserve">  If these savings are not identified they will add to the total deficit that needs to be found in 202</w:t>
      </w:r>
      <w:r w:rsidR="00B64457">
        <w:rPr>
          <w:sz w:val="24"/>
          <w:szCs w:val="24"/>
        </w:rPr>
        <w:t>1</w:t>
      </w:r>
      <w:r w:rsidR="00DF553C" w:rsidRPr="00E33107">
        <w:rPr>
          <w:sz w:val="24"/>
          <w:szCs w:val="24"/>
        </w:rPr>
        <w:t>/2</w:t>
      </w:r>
      <w:r w:rsidR="00B64457">
        <w:rPr>
          <w:sz w:val="24"/>
          <w:szCs w:val="24"/>
        </w:rPr>
        <w:t>2</w:t>
      </w:r>
      <w:r w:rsidR="00DF553C" w:rsidRPr="00E33107">
        <w:rPr>
          <w:sz w:val="24"/>
          <w:szCs w:val="24"/>
        </w:rPr>
        <w:t>.</w:t>
      </w:r>
    </w:p>
    <w:p w14:paraId="1F3B8A57" w14:textId="31A2C459" w:rsidR="00F50776" w:rsidRPr="00772FE1" w:rsidRDefault="00F50776" w:rsidP="0027437C">
      <w:pPr>
        <w:jc w:val="left"/>
        <w:rPr>
          <w:sz w:val="24"/>
          <w:szCs w:val="24"/>
        </w:rPr>
      </w:pPr>
    </w:p>
    <w:p w14:paraId="4A36FF86" w14:textId="45304545" w:rsidR="00F50776" w:rsidRPr="00656AD3" w:rsidRDefault="00F50776" w:rsidP="00F50776">
      <w:pPr>
        <w:ind w:left="851" w:hanging="851"/>
        <w:jc w:val="left"/>
        <w:rPr>
          <w:sz w:val="24"/>
          <w:szCs w:val="24"/>
        </w:rPr>
      </w:pPr>
      <w:r w:rsidRPr="00772FE1">
        <w:rPr>
          <w:sz w:val="24"/>
          <w:szCs w:val="24"/>
        </w:rPr>
        <w:t>3.4.</w:t>
      </w:r>
      <w:r w:rsidR="00022AA5">
        <w:rPr>
          <w:sz w:val="24"/>
          <w:szCs w:val="24"/>
        </w:rPr>
        <w:t>2</w:t>
      </w:r>
      <w:r w:rsidRPr="00772FE1">
        <w:rPr>
          <w:sz w:val="24"/>
          <w:szCs w:val="24"/>
        </w:rPr>
        <w:t>.</w:t>
      </w:r>
      <w:r w:rsidR="007F486E">
        <w:rPr>
          <w:sz w:val="24"/>
          <w:szCs w:val="24"/>
        </w:rPr>
        <w:t>8</w:t>
      </w:r>
      <w:r w:rsidR="005D234F" w:rsidRPr="00772FE1">
        <w:rPr>
          <w:sz w:val="24"/>
          <w:szCs w:val="24"/>
        </w:rPr>
        <w:t xml:space="preserve"> </w:t>
      </w:r>
      <w:r w:rsidRPr="00772FE1">
        <w:rPr>
          <w:sz w:val="24"/>
          <w:szCs w:val="24"/>
        </w:rPr>
        <w:t xml:space="preserve">In order to address the deficit for the </w:t>
      </w:r>
      <w:r>
        <w:rPr>
          <w:sz w:val="24"/>
          <w:szCs w:val="24"/>
        </w:rPr>
        <w:t>202</w:t>
      </w:r>
      <w:r w:rsidR="00736377">
        <w:rPr>
          <w:sz w:val="24"/>
          <w:szCs w:val="24"/>
        </w:rPr>
        <w:t>2/23</w:t>
      </w:r>
      <w:r w:rsidRPr="00772FE1">
        <w:rPr>
          <w:sz w:val="24"/>
          <w:szCs w:val="24"/>
        </w:rPr>
        <w:t xml:space="preserve"> financial year</w:t>
      </w:r>
      <w:r w:rsidR="00B64457">
        <w:rPr>
          <w:sz w:val="24"/>
          <w:szCs w:val="24"/>
        </w:rPr>
        <w:t>,</w:t>
      </w:r>
      <w:r w:rsidRPr="00772FE1">
        <w:rPr>
          <w:sz w:val="24"/>
          <w:szCs w:val="24"/>
        </w:rPr>
        <w:t xml:space="preserve"> work will be undertaken to review all the services provided by the Council.  This will focus on whether or not the service will continue to be provided, and where it is deemed that the service is still required, an assessment as to the level of service provided will be undertaken.</w:t>
      </w:r>
    </w:p>
    <w:p w14:paraId="3AF5A24E" w14:textId="77777777" w:rsidR="00054514" w:rsidRDefault="00054514" w:rsidP="0073669D">
      <w:pPr>
        <w:ind w:left="851" w:hanging="851"/>
        <w:jc w:val="left"/>
        <w:outlineLvl w:val="0"/>
        <w:rPr>
          <w:b/>
          <w:sz w:val="24"/>
          <w:szCs w:val="24"/>
        </w:rPr>
      </w:pPr>
    </w:p>
    <w:p w14:paraId="7C605004" w14:textId="77777777" w:rsidR="00F50776" w:rsidRDefault="00F50776" w:rsidP="0073669D">
      <w:pPr>
        <w:ind w:left="851" w:hanging="851"/>
        <w:jc w:val="left"/>
        <w:outlineLvl w:val="0"/>
        <w:rPr>
          <w:b/>
          <w:sz w:val="24"/>
          <w:szCs w:val="24"/>
        </w:rPr>
      </w:pPr>
    </w:p>
    <w:p w14:paraId="15EAA6D0" w14:textId="77777777" w:rsidR="00054514" w:rsidRDefault="00054514" w:rsidP="00054514">
      <w:pPr>
        <w:jc w:val="left"/>
        <w:rPr>
          <w:b/>
          <w:sz w:val="24"/>
          <w:szCs w:val="24"/>
        </w:rPr>
      </w:pPr>
      <w:r>
        <w:rPr>
          <w:b/>
          <w:sz w:val="24"/>
          <w:szCs w:val="24"/>
        </w:rPr>
        <w:t>3.4.</w:t>
      </w:r>
      <w:r w:rsidR="00DF553C">
        <w:rPr>
          <w:b/>
          <w:sz w:val="24"/>
          <w:szCs w:val="24"/>
        </w:rPr>
        <w:t>4</w:t>
      </w:r>
      <w:r>
        <w:rPr>
          <w:b/>
          <w:sz w:val="24"/>
          <w:szCs w:val="24"/>
        </w:rPr>
        <w:tab/>
        <w:t>Assumptions</w:t>
      </w:r>
    </w:p>
    <w:p w14:paraId="660E28B1" w14:textId="77777777" w:rsidR="00054514" w:rsidRPr="002675FA" w:rsidRDefault="00054514" w:rsidP="00054514">
      <w:pPr>
        <w:jc w:val="left"/>
        <w:rPr>
          <w:sz w:val="24"/>
          <w:szCs w:val="24"/>
        </w:rPr>
      </w:pPr>
    </w:p>
    <w:p w14:paraId="483BF1CE" w14:textId="0D3887F1" w:rsidR="00054514" w:rsidRPr="002675FA" w:rsidRDefault="00054514" w:rsidP="00054514">
      <w:pPr>
        <w:ind w:left="851" w:hanging="851"/>
        <w:jc w:val="left"/>
        <w:rPr>
          <w:sz w:val="24"/>
          <w:szCs w:val="24"/>
        </w:rPr>
      </w:pPr>
      <w:r>
        <w:rPr>
          <w:sz w:val="24"/>
          <w:szCs w:val="24"/>
        </w:rPr>
        <w:t>3.4.</w:t>
      </w:r>
      <w:r w:rsidR="0027437C">
        <w:rPr>
          <w:sz w:val="24"/>
          <w:szCs w:val="24"/>
        </w:rPr>
        <w:t>3</w:t>
      </w:r>
      <w:r>
        <w:rPr>
          <w:sz w:val="24"/>
          <w:szCs w:val="24"/>
        </w:rPr>
        <w:t>.1</w:t>
      </w:r>
      <w:r>
        <w:rPr>
          <w:sz w:val="24"/>
          <w:szCs w:val="24"/>
        </w:rPr>
        <w:tab/>
        <w:t>This section sets out the assumptions used to develop the detailed budget over the period of the Medium Term Financial Strategy, including those assumptions used to determine the major sources of funding that the Council is anticipating.</w:t>
      </w:r>
    </w:p>
    <w:p w14:paraId="3EB84E11" w14:textId="77777777" w:rsidR="00054514" w:rsidRDefault="00054514" w:rsidP="00054514">
      <w:pPr>
        <w:ind w:left="851" w:hanging="851"/>
        <w:jc w:val="left"/>
        <w:rPr>
          <w:sz w:val="24"/>
          <w:szCs w:val="24"/>
        </w:rPr>
      </w:pPr>
    </w:p>
    <w:p w14:paraId="3F97C109" w14:textId="77777777" w:rsidR="00054514" w:rsidRPr="002675FA" w:rsidRDefault="00054514" w:rsidP="00054514">
      <w:pPr>
        <w:ind w:left="851" w:hanging="851"/>
        <w:jc w:val="left"/>
        <w:rPr>
          <w:sz w:val="24"/>
          <w:szCs w:val="24"/>
        </w:rPr>
      </w:pPr>
    </w:p>
    <w:p w14:paraId="3BD54E76" w14:textId="109CB6FE" w:rsidR="00054514" w:rsidRPr="00A867DD" w:rsidRDefault="00054514" w:rsidP="00054514">
      <w:pPr>
        <w:ind w:left="851" w:hanging="851"/>
        <w:jc w:val="left"/>
        <w:rPr>
          <w:b/>
          <w:sz w:val="24"/>
          <w:szCs w:val="24"/>
        </w:rPr>
      </w:pPr>
      <w:r w:rsidRPr="00A867DD">
        <w:rPr>
          <w:b/>
          <w:sz w:val="24"/>
          <w:szCs w:val="24"/>
        </w:rPr>
        <w:t>3.4.</w:t>
      </w:r>
      <w:r w:rsidR="0027437C">
        <w:rPr>
          <w:b/>
          <w:sz w:val="24"/>
          <w:szCs w:val="24"/>
        </w:rPr>
        <w:t>4</w:t>
      </w:r>
      <w:r w:rsidRPr="00A867DD">
        <w:rPr>
          <w:b/>
          <w:sz w:val="24"/>
          <w:szCs w:val="24"/>
        </w:rPr>
        <w:tab/>
        <w:t>Government Grant</w:t>
      </w:r>
    </w:p>
    <w:p w14:paraId="3672C7B0" w14:textId="55C28324" w:rsidR="00054514" w:rsidRPr="007F30B8" w:rsidRDefault="00054514" w:rsidP="007F30B8">
      <w:pPr>
        <w:rPr>
          <w:rFonts w:cs="Arial"/>
          <w:sz w:val="24"/>
          <w:szCs w:val="24"/>
        </w:rPr>
      </w:pPr>
    </w:p>
    <w:p w14:paraId="3A6F2291" w14:textId="1B78FF89" w:rsidR="00054514" w:rsidRDefault="00054514" w:rsidP="009F4BBD">
      <w:pPr>
        <w:pStyle w:val="ListParagraph"/>
        <w:spacing w:after="0"/>
        <w:ind w:left="851" w:hanging="851"/>
        <w:rPr>
          <w:rFonts w:ascii="Arial" w:hAnsi="Arial" w:cs="Arial"/>
          <w:sz w:val="24"/>
          <w:szCs w:val="24"/>
        </w:rPr>
      </w:pPr>
      <w:r w:rsidRPr="00A867DD">
        <w:rPr>
          <w:rFonts w:ascii="Arial" w:hAnsi="Arial" w:cs="Arial"/>
          <w:sz w:val="24"/>
          <w:szCs w:val="24"/>
        </w:rPr>
        <w:t>3.4.</w:t>
      </w:r>
      <w:r w:rsidR="0027437C">
        <w:rPr>
          <w:rFonts w:ascii="Arial" w:hAnsi="Arial" w:cs="Arial"/>
          <w:sz w:val="24"/>
          <w:szCs w:val="24"/>
        </w:rPr>
        <w:t>4</w:t>
      </w:r>
      <w:r w:rsidRPr="00A867DD">
        <w:rPr>
          <w:rFonts w:ascii="Arial" w:hAnsi="Arial" w:cs="Arial"/>
          <w:sz w:val="24"/>
          <w:szCs w:val="24"/>
        </w:rPr>
        <w:t>.</w:t>
      </w:r>
      <w:r w:rsidR="007F30B8">
        <w:rPr>
          <w:rFonts w:ascii="Arial" w:hAnsi="Arial" w:cs="Arial"/>
          <w:sz w:val="24"/>
          <w:szCs w:val="24"/>
        </w:rPr>
        <w:t>1</w:t>
      </w:r>
      <w:r w:rsidRPr="00A867DD">
        <w:rPr>
          <w:rFonts w:ascii="Arial" w:hAnsi="Arial" w:cs="Arial"/>
          <w:sz w:val="24"/>
          <w:szCs w:val="24"/>
        </w:rPr>
        <w:tab/>
        <w:t>For 202</w:t>
      </w:r>
      <w:r w:rsidR="000C400B">
        <w:rPr>
          <w:rFonts w:ascii="Arial" w:hAnsi="Arial" w:cs="Arial"/>
          <w:sz w:val="24"/>
          <w:szCs w:val="24"/>
        </w:rPr>
        <w:t>1/22</w:t>
      </w:r>
      <w:r w:rsidR="00C53E00">
        <w:rPr>
          <w:rFonts w:ascii="Arial" w:hAnsi="Arial" w:cs="Arial"/>
          <w:sz w:val="24"/>
          <w:szCs w:val="24"/>
        </w:rPr>
        <w:t>,</w:t>
      </w:r>
      <w:r w:rsidRPr="00A867DD">
        <w:rPr>
          <w:rFonts w:ascii="Arial" w:hAnsi="Arial" w:cs="Arial"/>
          <w:sz w:val="24"/>
          <w:szCs w:val="24"/>
        </w:rPr>
        <w:t xml:space="preserve"> the Council has “rolled over” its Revenu</w:t>
      </w:r>
      <w:r w:rsidR="000C400B">
        <w:rPr>
          <w:rFonts w:ascii="Arial" w:hAnsi="Arial" w:cs="Arial"/>
          <w:sz w:val="24"/>
          <w:szCs w:val="24"/>
        </w:rPr>
        <w:t>e Support Grant levels from 2020/21, which was confirmed in the provisional</w:t>
      </w:r>
      <w:r w:rsidR="00515CF2">
        <w:rPr>
          <w:rFonts w:ascii="Arial" w:hAnsi="Arial" w:cs="Arial"/>
          <w:sz w:val="24"/>
          <w:szCs w:val="24"/>
        </w:rPr>
        <w:t xml:space="preserve"> </w:t>
      </w:r>
      <w:r w:rsidR="00BD56E7">
        <w:rPr>
          <w:rFonts w:ascii="Arial" w:hAnsi="Arial" w:cs="Arial"/>
          <w:sz w:val="24"/>
          <w:szCs w:val="24"/>
        </w:rPr>
        <w:t>Local Government Finance S</w:t>
      </w:r>
      <w:r w:rsidR="00515CF2">
        <w:rPr>
          <w:rFonts w:ascii="Arial" w:hAnsi="Arial" w:cs="Arial"/>
          <w:sz w:val="24"/>
          <w:szCs w:val="24"/>
        </w:rPr>
        <w:t>ettlement announced 17</w:t>
      </w:r>
      <w:r w:rsidR="000C400B">
        <w:rPr>
          <w:rFonts w:ascii="Arial" w:hAnsi="Arial" w:cs="Arial"/>
          <w:sz w:val="24"/>
          <w:szCs w:val="24"/>
        </w:rPr>
        <w:t xml:space="preserve"> December 2020</w:t>
      </w:r>
      <w:r w:rsidRPr="00A867DD">
        <w:rPr>
          <w:rFonts w:ascii="Arial" w:hAnsi="Arial" w:cs="Arial"/>
          <w:sz w:val="24"/>
          <w:szCs w:val="24"/>
        </w:rPr>
        <w:t xml:space="preserve">.  </w:t>
      </w:r>
    </w:p>
    <w:p w14:paraId="4E8E35DA" w14:textId="40B4CAFB" w:rsidR="00515CF2" w:rsidRDefault="00515CF2" w:rsidP="009F4BBD">
      <w:pPr>
        <w:pStyle w:val="ListParagraph"/>
        <w:spacing w:after="0"/>
        <w:ind w:left="851" w:hanging="851"/>
        <w:rPr>
          <w:rFonts w:ascii="Arial" w:hAnsi="Arial" w:cs="Arial"/>
          <w:sz w:val="24"/>
          <w:szCs w:val="24"/>
        </w:rPr>
      </w:pPr>
    </w:p>
    <w:p w14:paraId="72DBD067" w14:textId="2F92F1AD" w:rsidR="00515CF2" w:rsidRPr="009F4BBD" w:rsidRDefault="00515CF2" w:rsidP="009F4BBD">
      <w:pPr>
        <w:pStyle w:val="ListParagraph"/>
        <w:spacing w:after="0"/>
        <w:ind w:left="851" w:hanging="851"/>
        <w:rPr>
          <w:rFonts w:ascii="Arial" w:hAnsi="Arial" w:cs="Arial"/>
          <w:sz w:val="24"/>
          <w:szCs w:val="24"/>
        </w:rPr>
      </w:pPr>
      <w:r>
        <w:rPr>
          <w:rFonts w:ascii="Arial" w:hAnsi="Arial" w:cs="Arial"/>
          <w:sz w:val="24"/>
          <w:szCs w:val="24"/>
        </w:rPr>
        <w:t>3.4.4.2</w:t>
      </w:r>
      <w:r>
        <w:rPr>
          <w:rFonts w:ascii="Arial" w:hAnsi="Arial" w:cs="Arial"/>
          <w:sz w:val="24"/>
          <w:szCs w:val="24"/>
        </w:rPr>
        <w:tab/>
        <w:t xml:space="preserve">Alongside Revenue Support Grant, the Council has also been allocated a new grant – Lower Tier Services Grant – which has been built into the budget for 2021/22. </w:t>
      </w:r>
    </w:p>
    <w:p w14:paraId="130F684F" w14:textId="2985C434" w:rsidR="00054514" w:rsidRPr="00656AD3" w:rsidRDefault="00054514" w:rsidP="00C53E00">
      <w:pPr>
        <w:jc w:val="left"/>
        <w:rPr>
          <w:rFonts w:cs="Arial"/>
          <w:sz w:val="24"/>
          <w:szCs w:val="24"/>
        </w:rPr>
      </w:pPr>
    </w:p>
    <w:p w14:paraId="51214F7A" w14:textId="77777777" w:rsidR="00054514" w:rsidRPr="00656AD3" w:rsidRDefault="00054514" w:rsidP="00054514">
      <w:pPr>
        <w:ind w:left="851" w:hanging="851"/>
        <w:jc w:val="left"/>
        <w:rPr>
          <w:rFonts w:cs="Arial"/>
          <w:sz w:val="24"/>
          <w:szCs w:val="24"/>
        </w:rPr>
      </w:pPr>
    </w:p>
    <w:p w14:paraId="05F2DEAE" w14:textId="073939BF" w:rsidR="00054514" w:rsidRPr="00656AD3" w:rsidRDefault="00054514" w:rsidP="00054514">
      <w:pPr>
        <w:ind w:left="851" w:hanging="851"/>
        <w:jc w:val="left"/>
        <w:rPr>
          <w:b/>
          <w:sz w:val="24"/>
          <w:szCs w:val="24"/>
        </w:rPr>
      </w:pPr>
      <w:r w:rsidRPr="00656AD3">
        <w:rPr>
          <w:b/>
          <w:sz w:val="24"/>
          <w:szCs w:val="24"/>
        </w:rPr>
        <w:lastRenderedPageBreak/>
        <w:t>3.</w:t>
      </w:r>
      <w:r>
        <w:rPr>
          <w:b/>
          <w:sz w:val="24"/>
          <w:szCs w:val="24"/>
        </w:rPr>
        <w:t>4.</w:t>
      </w:r>
      <w:r w:rsidR="0027437C">
        <w:rPr>
          <w:b/>
          <w:sz w:val="24"/>
          <w:szCs w:val="24"/>
        </w:rPr>
        <w:t>5</w:t>
      </w:r>
      <w:r w:rsidRPr="00656AD3">
        <w:rPr>
          <w:b/>
          <w:sz w:val="24"/>
          <w:szCs w:val="24"/>
        </w:rPr>
        <w:tab/>
        <w:t>Business Rates</w:t>
      </w:r>
    </w:p>
    <w:p w14:paraId="51556724" w14:textId="77777777" w:rsidR="00054514" w:rsidRPr="00656AD3" w:rsidRDefault="00054514" w:rsidP="00054514">
      <w:pPr>
        <w:ind w:left="851" w:hanging="851"/>
        <w:jc w:val="left"/>
        <w:rPr>
          <w:b/>
          <w:sz w:val="24"/>
          <w:szCs w:val="24"/>
        </w:rPr>
      </w:pPr>
    </w:p>
    <w:p w14:paraId="5462B72E" w14:textId="0F3D4B1E" w:rsidR="00054514" w:rsidRPr="00656AD3" w:rsidRDefault="00054514" w:rsidP="00054514">
      <w:pPr>
        <w:autoSpaceDE w:val="0"/>
        <w:autoSpaceDN w:val="0"/>
        <w:adjustRightInd w:val="0"/>
        <w:ind w:left="851" w:hanging="851"/>
        <w:jc w:val="left"/>
        <w:rPr>
          <w:rFonts w:cs="Arial"/>
          <w:sz w:val="24"/>
          <w:szCs w:val="24"/>
        </w:rPr>
      </w:pPr>
      <w:r w:rsidRPr="00656AD3">
        <w:rPr>
          <w:rFonts w:cs="Arial"/>
          <w:sz w:val="24"/>
          <w:szCs w:val="24"/>
        </w:rPr>
        <w:t>3.</w:t>
      </w:r>
      <w:r>
        <w:rPr>
          <w:rFonts w:cs="Arial"/>
          <w:sz w:val="24"/>
          <w:szCs w:val="24"/>
        </w:rPr>
        <w:t>4.</w:t>
      </w:r>
      <w:r w:rsidR="0027437C">
        <w:rPr>
          <w:rFonts w:cs="Arial"/>
          <w:sz w:val="24"/>
          <w:szCs w:val="24"/>
        </w:rPr>
        <w:t>5</w:t>
      </w:r>
      <w:r>
        <w:rPr>
          <w:rFonts w:cs="Arial"/>
          <w:sz w:val="24"/>
          <w:szCs w:val="24"/>
        </w:rPr>
        <w:t>.1</w:t>
      </w:r>
      <w:r w:rsidRPr="00656AD3">
        <w:rPr>
          <w:rFonts w:cs="Arial"/>
          <w:sz w:val="24"/>
          <w:szCs w:val="24"/>
        </w:rPr>
        <w:tab/>
        <w:t xml:space="preserve">In addition to the baseline </w:t>
      </w:r>
      <w:r w:rsidRPr="00E33107">
        <w:rPr>
          <w:rFonts w:cs="Arial"/>
          <w:sz w:val="24"/>
          <w:szCs w:val="24"/>
        </w:rPr>
        <w:t>allocation of Business Rates</w:t>
      </w:r>
      <w:r w:rsidR="00932D3C">
        <w:rPr>
          <w:rFonts w:cs="Arial"/>
          <w:sz w:val="24"/>
          <w:szCs w:val="24"/>
        </w:rPr>
        <w:t>, t</w:t>
      </w:r>
      <w:r w:rsidRPr="00E33107">
        <w:rPr>
          <w:rFonts w:cs="Arial"/>
          <w:sz w:val="24"/>
          <w:szCs w:val="24"/>
        </w:rPr>
        <w:t>he Council retains 40% of any business rates collected above the assumed baseline level (with Nottinghamshire County Council and Nottinghamshire Fire and Rescue Service also receiving 9% and 1% respectively), with the remaining 50% being contributed to the Nottinghamshire Business Rates</w:t>
      </w:r>
      <w:r w:rsidRPr="00656AD3">
        <w:rPr>
          <w:rFonts w:cs="Arial"/>
          <w:sz w:val="24"/>
          <w:szCs w:val="24"/>
        </w:rPr>
        <w:t xml:space="preserve"> Pool.  If business rates income falls to less than 92.5% of the baseline, the Council will receive a ‘safety net’ payment from the Pool, so that any loss of income below the baseline is capped at 7.5%.</w:t>
      </w:r>
    </w:p>
    <w:p w14:paraId="6A1A3726" w14:textId="77777777" w:rsidR="00054514" w:rsidRPr="00656AD3" w:rsidRDefault="00054514" w:rsidP="00054514">
      <w:pPr>
        <w:pStyle w:val="ListParagraph"/>
        <w:spacing w:after="0" w:line="240" w:lineRule="auto"/>
        <w:ind w:left="851" w:hanging="851"/>
        <w:rPr>
          <w:rFonts w:ascii="Arial" w:hAnsi="Arial" w:cs="Arial"/>
          <w:sz w:val="24"/>
          <w:szCs w:val="24"/>
        </w:rPr>
      </w:pPr>
      <w:r w:rsidRPr="00656AD3">
        <w:rPr>
          <w:rFonts w:ascii="Arial" w:hAnsi="Arial" w:cs="Arial"/>
          <w:sz w:val="24"/>
          <w:szCs w:val="24"/>
        </w:rPr>
        <w:t xml:space="preserve"> </w:t>
      </w:r>
    </w:p>
    <w:p w14:paraId="0AC2AC09" w14:textId="16905FCC" w:rsidR="00054514" w:rsidRPr="00656AD3" w:rsidRDefault="00054514" w:rsidP="00054514">
      <w:pPr>
        <w:pStyle w:val="ListParagraph"/>
        <w:spacing w:after="0" w:line="240" w:lineRule="auto"/>
        <w:ind w:left="851" w:hanging="851"/>
        <w:rPr>
          <w:rFonts w:ascii="Arial" w:hAnsi="Arial" w:cs="Arial"/>
          <w:sz w:val="24"/>
          <w:szCs w:val="24"/>
        </w:rPr>
      </w:pPr>
      <w:r w:rsidRPr="00656AD3">
        <w:rPr>
          <w:rFonts w:ascii="Arial" w:hAnsi="Arial" w:cs="Arial"/>
          <w:sz w:val="24"/>
          <w:szCs w:val="24"/>
        </w:rPr>
        <w:t>3.</w:t>
      </w:r>
      <w:r>
        <w:rPr>
          <w:rFonts w:ascii="Arial" w:hAnsi="Arial" w:cs="Arial"/>
          <w:sz w:val="24"/>
          <w:szCs w:val="24"/>
        </w:rPr>
        <w:t>4.</w:t>
      </w:r>
      <w:r w:rsidR="0027437C">
        <w:rPr>
          <w:rFonts w:ascii="Arial" w:hAnsi="Arial" w:cs="Arial"/>
          <w:sz w:val="24"/>
          <w:szCs w:val="24"/>
        </w:rPr>
        <w:t>5</w:t>
      </w:r>
      <w:r>
        <w:rPr>
          <w:rFonts w:ascii="Arial" w:hAnsi="Arial" w:cs="Arial"/>
          <w:sz w:val="24"/>
          <w:szCs w:val="24"/>
        </w:rPr>
        <w:t>.2</w:t>
      </w:r>
      <w:r w:rsidRPr="00656AD3">
        <w:rPr>
          <w:rFonts w:ascii="Arial" w:hAnsi="Arial" w:cs="Arial"/>
          <w:sz w:val="24"/>
          <w:szCs w:val="24"/>
        </w:rPr>
        <w:tab/>
        <w:t>The Council is a member of the Nottinghamshire Business Rates Pool which shares the risks associated with reducing business rates income from revaluations or closure of key employers and shares the benefit of growth across the county. The budget does not take account of any surplus which may be made as a result of growth.</w:t>
      </w:r>
    </w:p>
    <w:p w14:paraId="694E9914" w14:textId="77777777" w:rsidR="00054514" w:rsidRPr="00656AD3" w:rsidRDefault="00054514" w:rsidP="00054514">
      <w:pPr>
        <w:pStyle w:val="ListParagraph"/>
        <w:spacing w:after="0" w:line="240" w:lineRule="auto"/>
        <w:ind w:left="851" w:hanging="851"/>
        <w:rPr>
          <w:rFonts w:ascii="Arial" w:hAnsi="Arial" w:cs="Arial"/>
          <w:sz w:val="24"/>
          <w:szCs w:val="24"/>
        </w:rPr>
      </w:pPr>
    </w:p>
    <w:p w14:paraId="07537CDF" w14:textId="01731C5A" w:rsidR="00054514" w:rsidRPr="00656AD3" w:rsidRDefault="00054514" w:rsidP="00054514">
      <w:pPr>
        <w:autoSpaceDE w:val="0"/>
        <w:autoSpaceDN w:val="0"/>
        <w:adjustRightInd w:val="0"/>
        <w:ind w:left="851" w:hanging="851"/>
        <w:jc w:val="left"/>
        <w:rPr>
          <w:rFonts w:cs="Arial"/>
          <w:sz w:val="24"/>
          <w:szCs w:val="24"/>
        </w:rPr>
      </w:pPr>
      <w:r w:rsidRPr="00656AD3">
        <w:rPr>
          <w:rFonts w:cs="Arial"/>
          <w:sz w:val="24"/>
          <w:szCs w:val="24"/>
        </w:rPr>
        <w:t>3.</w:t>
      </w:r>
      <w:r>
        <w:rPr>
          <w:rFonts w:cs="Arial"/>
          <w:sz w:val="24"/>
          <w:szCs w:val="24"/>
        </w:rPr>
        <w:t>4.</w:t>
      </w:r>
      <w:r w:rsidR="0027437C">
        <w:rPr>
          <w:rFonts w:cs="Arial"/>
          <w:sz w:val="24"/>
          <w:szCs w:val="24"/>
        </w:rPr>
        <w:t>5</w:t>
      </w:r>
      <w:r>
        <w:rPr>
          <w:rFonts w:cs="Arial"/>
          <w:sz w:val="24"/>
          <w:szCs w:val="24"/>
        </w:rPr>
        <w:t>.3</w:t>
      </w:r>
      <w:r w:rsidRPr="00656AD3">
        <w:rPr>
          <w:rFonts w:cs="Arial"/>
          <w:sz w:val="24"/>
          <w:szCs w:val="24"/>
        </w:rPr>
        <w:tab/>
        <w:t xml:space="preserve">One of the challenges faced by all local authorities is effectively predicting the level of movement in the business rate tax base. This is dependent on accurately forecasting the timing and incidences of new properties, demolitions and significant refurbishments, together with the consequent effect on valuations. This is further complicated by the need to assess the level of appeals that will be lodged successfully against new/revised valuations, together with their timing.  </w:t>
      </w:r>
    </w:p>
    <w:p w14:paraId="28EA1A01" w14:textId="77777777" w:rsidR="00054514" w:rsidRPr="00656AD3" w:rsidRDefault="00054514" w:rsidP="00054514">
      <w:pPr>
        <w:autoSpaceDE w:val="0"/>
        <w:autoSpaceDN w:val="0"/>
        <w:adjustRightInd w:val="0"/>
        <w:ind w:left="851" w:hanging="851"/>
        <w:jc w:val="left"/>
        <w:rPr>
          <w:rFonts w:cs="Arial"/>
          <w:sz w:val="24"/>
          <w:szCs w:val="24"/>
        </w:rPr>
      </w:pPr>
    </w:p>
    <w:p w14:paraId="37F46B89" w14:textId="6E61A046" w:rsidR="00054514" w:rsidRPr="00656AD3" w:rsidRDefault="00054514" w:rsidP="00054514">
      <w:pPr>
        <w:autoSpaceDE w:val="0"/>
        <w:autoSpaceDN w:val="0"/>
        <w:adjustRightInd w:val="0"/>
        <w:ind w:left="851" w:hanging="851"/>
        <w:jc w:val="left"/>
        <w:rPr>
          <w:rFonts w:cs="Arial"/>
          <w:sz w:val="24"/>
          <w:szCs w:val="24"/>
        </w:rPr>
      </w:pPr>
      <w:r w:rsidRPr="00656AD3">
        <w:rPr>
          <w:rFonts w:cs="Arial"/>
          <w:sz w:val="24"/>
          <w:szCs w:val="24"/>
        </w:rPr>
        <w:t>3.</w:t>
      </w:r>
      <w:r>
        <w:rPr>
          <w:rFonts w:cs="Arial"/>
          <w:sz w:val="24"/>
          <w:szCs w:val="24"/>
        </w:rPr>
        <w:t>4.</w:t>
      </w:r>
      <w:r w:rsidR="0027437C">
        <w:rPr>
          <w:rFonts w:cs="Arial"/>
          <w:sz w:val="24"/>
          <w:szCs w:val="24"/>
        </w:rPr>
        <w:t>5</w:t>
      </w:r>
      <w:r>
        <w:rPr>
          <w:rFonts w:cs="Arial"/>
          <w:sz w:val="24"/>
          <w:szCs w:val="24"/>
        </w:rPr>
        <w:t>.4</w:t>
      </w:r>
      <w:r w:rsidRPr="00656AD3">
        <w:rPr>
          <w:rFonts w:cs="Arial"/>
          <w:sz w:val="24"/>
          <w:szCs w:val="24"/>
        </w:rPr>
        <w:tab/>
        <w:t xml:space="preserve">Although there has been growth in the tax base since the scheme started in 2013/14, the Council is expecting reductions as a result of the settling of appeals, which includes backdating to previous years.  Provisions have been made in the accounts to cover these amounts, but the risk is that the value of the settled appeals could be much higher. The appeals position nationally remains difficult to forecast accurately with fresh appeals likely as a result of the 2017 Business Rates revaluation. </w:t>
      </w:r>
    </w:p>
    <w:p w14:paraId="36CE3213" w14:textId="77777777" w:rsidR="00054514" w:rsidRPr="00656AD3" w:rsidRDefault="00054514" w:rsidP="00054514">
      <w:pPr>
        <w:autoSpaceDE w:val="0"/>
        <w:autoSpaceDN w:val="0"/>
        <w:adjustRightInd w:val="0"/>
        <w:ind w:left="851" w:hanging="851"/>
        <w:jc w:val="left"/>
        <w:rPr>
          <w:rFonts w:cs="Arial"/>
          <w:sz w:val="24"/>
          <w:szCs w:val="24"/>
        </w:rPr>
      </w:pPr>
    </w:p>
    <w:p w14:paraId="1F63CB6F" w14:textId="05202E68" w:rsidR="00054514" w:rsidRPr="00656AD3" w:rsidRDefault="00054514" w:rsidP="00054514">
      <w:pPr>
        <w:pStyle w:val="ListParagraph"/>
        <w:spacing w:after="0" w:line="240" w:lineRule="auto"/>
        <w:ind w:left="851" w:hanging="851"/>
        <w:rPr>
          <w:rFonts w:ascii="Arial" w:hAnsi="Arial" w:cs="Arial"/>
          <w:sz w:val="24"/>
          <w:szCs w:val="24"/>
        </w:rPr>
      </w:pPr>
      <w:r w:rsidRPr="0017654C">
        <w:rPr>
          <w:rFonts w:ascii="Arial" w:hAnsi="Arial" w:cs="Arial"/>
          <w:sz w:val="24"/>
          <w:szCs w:val="24"/>
        </w:rPr>
        <w:t>3.4.</w:t>
      </w:r>
      <w:r w:rsidR="0027437C">
        <w:rPr>
          <w:rFonts w:ascii="Arial" w:hAnsi="Arial" w:cs="Arial"/>
          <w:sz w:val="24"/>
          <w:szCs w:val="24"/>
        </w:rPr>
        <w:t>5</w:t>
      </w:r>
      <w:r w:rsidRPr="0017654C">
        <w:rPr>
          <w:rFonts w:ascii="Arial" w:hAnsi="Arial" w:cs="Arial"/>
          <w:sz w:val="24"/>
          <w:szCs w:val="24"/>
        </w:rPr>
        <w:t>.5</w:t>
      </w:r>
      <w:r w:rsidRPr="0017654C">
        <w:rPr>
          <w:rFonts w:ascii="Arial" w:hAnsi="Arial" w:cs="Arial"/>
          <w:sz w:val="24"/>
          <w:szCs w:val="24"/>
        </w:rPr>
        <w:tab/>
      </w:r>
      <w:r w:rsidR="00773E47" w:rsidRPr="0017654C">
        <w:rPr>
          <w:rFonts w:ascii="Arial" w:hAnsi="Arial" w:cs="Arial"/>
          <w:sz w:val="24"/>
          <w:szCs w:val="24"/>
        </w:rPr>
        <w:t>It was intended that, f</w:t>
      </w:r>
      <w:r w:rsidRPr="0017654C">
        <w:rPr>
          <w:rFonts w:ascii="Arial" w:hAnsi="Arial" w:cs="Arial"/>
          <w:sz w:val="24"/>
          <w:szCs w:val="24"/>
        </w:rPr>
        <w:t>rom 2021/2</w:t>
      </w:r>
      <w:r w:rsidR="00773E47" w:rsidRPr="0017654C">
        <w:rPr>
          <w:rFonts w:ascii="Arial" w:hAnsi="Arial" w:cs="Arial"/>
          <w:sz w:val="24"/>
          <w:szCs w:val="24"/>
        </w:rPr>
        <w:t>2,</w:t>
      </w:r>
      <w:r w:rsidRPr="0017654C">
        <w:rPr>
          <w:rFonts w:ascii="Arial" w:hAnsi="Arial" w:cs="Arial"/>
          <w:sz w:val="24"/>
          <w:szCs w:val="24"/>
        </w:rPr>
        <w:t xml:space="preserve"> local authorities </w:t>
      </w:r>
      <w:r w:rsidR="00773E47" w:rsidRPr="0017654C">
        <w:rPr>
          <w:rFonts w:ascii="Arial" w:hAnsi="Arial" w:cs="Arial"/>
          <w:sz w:val="24"/>
          <w:szCs w:val="24"/>
        </w:rPr>
        <w:t xml:space="preserve">would </w:t>
      </w:r>
      <w:r w:rsidRPr="0017654C">
        <w:rPr>
          <w:rFonts w:ascii="Arial" w:hAnsi="Arial" w:cs="Arial"/>
          <w:sz w:val="24"/>
          <w:szCs w:val="24"/>
        </w:rPr>
        <w:t xml:space="preserve">retain 75% of the Business Rates that they collect.  </w:t>
      </w:r>
      <w:r w:rsidR="00773E47">
        <w:rPr>
          <w:rFonts w:ascii="Arial" w:hAnsi="Arial" w:cs="Arial"/>
          <w:sz w:val="24"/>
          <w:szCs w:val="24"/>
        </w:rPr>
        <w:t xml:space="preserve">However, this has now been postponed due the focus within Central Government on the response to the Covid-19 pandemic. </w:t>
      </w:r>
    </w:p>
    <w:p w14:paraId="52803492" w14:textId="77777777" w:rsidR="00054514" w:rsidRPr="00656AD3" w:rsidRDefault="00054514" w:rsidP="00054514">
      <w:pPr>
        <w:pStyle w:val="ListParagraph"/>
        <w:spacing w:after="0" w:line="240" w:lineRule="auto"/>
        <w:ind w:left="851" w:hanging="851"/>
        <w:rPr>
          <w:rFonts w:ascii="Arial" w:hAnsi="Arial" w:cs="Arial"/>
          <w:sz w:val="24"/>
          <w:szCs w:val="24"/>
        </w:rPr>
      </w:pPr>
    </w:p>
    <w:p w14:paraId="1B6D9750" w14:textId="10B18EBD" w:rsidR="00054514" w:rsidRPr="00656AD3" w:rsidRDefault="00054514" w:rsidP="00054514">
      <w:pPr>
        <w:pStyle w:val="ListParagraph"/>
        <w:spacing w:after="0" w:line="240" w:lineRule="auto"/>
        <w:ind w:left="851" w:hanging="851"/>
        <w:rPr>
          <w:rFonts w:ascii="Arial" w:hAnsi="Arial" w:cs="Arial"/>
          <w:sz w:val="24"/>
          <w:szCs w:val="24"/>
        </w:rPr>
      </w:pPr>
      <w:r w:rsidRPr="00656AD3">
        <w:rPr>
          <w:rFonts w:ascii="Arial" w:hAnsi="Arial" w:cs="Arial"/>
          <w:sz w:val="24"/>
          <w:szCs w:val="24"/>
        </w:rPr>
        <w:t>3.</w:t>
      </w:r>
      <w:r>
        <w:rPr>
          <w:rFonts w:ascii="Arial" w:hAnsi="Arial" w:cs="Arial"/>
          <w:sz w:val="24"/>
          <w:szCs w:val="24"/>
        </w:rPr>
        <w:t>4.</w:t>
      </w:r>
      <w:r w:rsidR="0027437C">
        <w:rPr>
          <w:rFonts w:ascii="Arial" w:hAnsi="Arial" w:cs="Arial"/>
          <w:sz w:val="24"/>
          <w:szCs w:val="24"/>
        </w:rPr>
        <w:t>5</w:t>
      </w:r>
      <w:r>
        <w:rPr>
          <w:rFonts w:ascii="Arial" w:hAnsi="Arial" w:cs="Arial"/>
          <w:sz w:val="24"/>
          <w:szCs w:val="24"/>
        </w:rPr>
        <w:t>.6</w:t>
      </w:r>
      <w:r w:rsidRPr="00656AD3">
        <w:rPr>
          <w:rFonts w:ascii="Arial" w:hAnsi="Arial" w:cs="Arial"/>
          <w:sz w:val="24"/>
          <w:szCs w:val="24"/>
        </w:rPr>
        <w:tab/>
        <w:t xml:space="preserve">It has been agreed by the Economic Partnership Committee, consisting of Nottinghamshire and Derbyshire Local Authorities, that a 50% proportion of any surplus made by Mansfield District Council from being part of the Nottinghamshire Business </w:t>
      </w:r>
      <w:r w:rsidRPr="00656AD3">
        <w:rPr>
          <w:rFonts w:ascii="Arial" w:hAnsi="Arial" w:cs="Arial"/>
          <w:sz w:val="24"/>
          <w:szCs w:val="24"/>
        </w:rPr>
        <w:lastRenderedPageBreak/>
        <w:t>Rates Pool be used to support economic regeneration.  Use of this element in the future will need to be determined by the Economic Partnership Committee and possibly returned to local authorities to determine their need locally.</w:t>
      </w:r>
    </w:p>
    <w:p w14:paraId="56529C79" w14:textId="77777777" w:rsidR="00054514" w:rsidRPr="00656AD3" w:rsidRDefault="00054514" w:rsidP="00054514">
      <w:pPr>
        <w:ind w:left="851" w:hanging="851"/>
        <w:jc w:val="left"/>
        <w:rPr>
          <w:b/>
          <w:sz w:val="24"/>
          <w:szCs w:val="24"/>
        </w:rPr>
      </w:pPr>
    </w:p>
    <w:p w14:paraId="3A49A194" w14:textId="77777777" w:rsidR="00054514" w:rsidRPr="00656AD3" w:rsidRDefault="00054514" w:rsidP="00054514">
      <w:pPr>
        <w:ind w:left="851" w:hanging="851"/>
        <w:jc w:val="left"/>
        <w:rPr>
          <w:b/>
          <w:sz w:val="24"/>
          <w:szCs w:val="24"/>
        </w:rPr>
      </w:pPr>
    </w:p>
    <w:p w14:paraId="35C87984" w14:textId="389B9F76" w:rsidR="00054514" w:rsidRPr="00656AD3" w:rsidRDefault="00054514" w:rsidP="00054514">
      <w:pPr>
        <w:ind w:left="851" w:hanging="851"/>
        <w:jc w:val="left"/>
        <w:outlineLvl w:val="0"/>
        <w:rPr>
          <w:b/>
          <w:sz w:val="24"/>
          <w:szCs w:val="24"/>
        </w:rPr>
      </w:pPr>
      <w:r w:rsidRPr="00656AD3">
        <w:rPr>
          <w:b/>
          <w:sz w:val="24"/>
          <w:szCs w:val="24"/>
        </w:rPr>
        <w:t>3.</w:t>
      </w:r>
      <w:r>
        <w:rPr>
          <w:b/>
          <w:sz w:val="24"/>
          <w:szCs w:val="24"/>
        </w:rPr>
        <w:t>4.</w:t>
      </w:r>
      <w:r w:rsidR="0027437C">
        <w:rPr>
          <w:b/>
          <w:sz w:val="24"/>
          <w:szCs w:val="24"/>
        </w:rPr>
        <w:t>6</w:t>
      </w:r>
      <w:r w:rsidRPr="00656AD3">
        <w:rPr>
          <w:b/>
          <w:sz w:val="24"/>
          <w:szCs w:val="24"/>
        </w:rPr>
        <w:tab/>
        <w:t xml:space="preserve">Council Tax </w:t>
      </w:r>
    </w:p>
    <w:p w14:paraId="66EA931E" w14:textId="77777777" w:rsidR="00054514" w:rsidRPr="00656AD3" w:rsidRDefault="00054514" w:rsidP="00054514">
      <w:pPr>
        <w:ind w:left="851" w:hanging="851"/>
        <w:jc w:val="left"/>
        <w:rPr>
          <w:sz w:val="24"/>
          <w:szCs w:val="24"/>
        </w:rPr>
      </w:pPr>
    </w:p>
    <w:p w14:paraId="501AE1C1" w14:textId="60D17E79" w:rsidR="00054514" w:rsidRPr="00656AD3" w:rsidRDefault="00054514" w:rsidP="00054514">
      <w:pPr>
        <w:ind w:left="851" w:hanging="851"/>
        <w:jc w:val="left"/>
        <w:rPr>
          <w:sz w:val="24"/>
          <w:szCs w:val="24"/>
        </w:rPr>
      </w:pPr>
      <w:r w:rsidRPr="00AF49BF">
        <w:rPr>
          <w:sz w:val="24"/>
          <w:szCs w:val="24"/>
        </w:rPr>
        <w:t>3.4.</w:t>
      </w:r>
      <w:r w:rsidR="0027437C">
        <w:rPr>
          <w:sz w:val="24"/>
          <w:szCs w:val="24"/>
        </w:rPr>
        <w:t>6</w:t>
      </w:r>
      <w:r w:rsidRPr="00AF49BF">
        <w:rPr>
          <w:sz w:val="24"/>
          <w:szCs w:val="24"/>
        </w:rPr>
        <w:t>.1</w:t>
      </w:r>
      <w:r w:rsidRPr="00AF49BF">
        <w:rPr>
          <w:sz w:val="24"/>
          <w:szCs w:val="24"/>
        </w:rPr>
        <w:tab/>
      </w:r>
      <w:r w:rsidR="00AF49BF" w:rsidRPr="00AF49BF">
        <w:rPr>
          <w:sz w:val="24"/>
          <w:szCs w:val="24"/>
        </w:rPr>
        <w:t xml:space="preserve">The financial year 2020/21 was the first year that Mansfield District Council increased </w:t>
      </w:r>
      <w:r w:rsidR="00AF49BF">
        <w:rPr>
          <w:sz w:val="24"/>
          <w:szCs w:val="24"/>
        </w:rPr>
        <w:t>its Council Tax since 2011/</w:t>
      </w:r>
      <w:r w:rsidRPr="00AF49BF">
        <w:rPr>
          <w:sz w:val="24"/>
          <w:szCs w:val="24"/>
        </w:rPr>
        <w:t>12, at which time Central Government provided financial incentives for Councils to freeze their Council Tax levels.</w:t>
      </w:r>
    </w:p>
    <w:p w14:paraId="32538C9F" w14:textId="77777777" w:rsidR="00054514" w:rsidRPr="00656AD3" w:rsidRDefault="00054514" w:rsidP="00054514">
      <w:pPr>
        <w:ind w:left="851" w:hanging="851"/>
        <w:jc w:val="left"/>
        <w:rPr>
          <w:sz w:val="24"/>
          <w:szCs w:val="24"/>
        </w:rPr>
      </w:pPr>
    </w:p>
    <w:p w14:paraId="4A466BA1" w14:textId="53A91C68" w:rsidR="00054514" w:rsidRPr="00656AD3" w:rsidRDefault="00054514" w:rsidP="00AF49BF">
      <w:pPr>
        <w:ind w:left="851" w:hanging="851"/>
        <w:jc w:val="left"/>
        <w:rPr>
          <w:sz w:val="24"/>
          <w:szCs w:val="24"/>
        </w:rPr>
      </w:pPr>
      <w:r w:rsidRPr="00656AD3">
        <w:rPr>
          <w:sz w:val="24"/>
          <w:szCs w:val="24"/>
        </w:rPr>
        <w:t>3.</w:t>
      </w:r>
      <w:r>
        <w:rPr>
          <w:sz w:val="24"/>
          <w:szCs w:val="24"/>
        </w:rPr>
        <w:t>4.</w:t>
      </w:r>
      <w:r w:rsidR="0027437C">
        <w:rPr>
          <w:sz w:val="24"/>
          <w:szCs w:val="24"/>
        </w:rPr>
        <w:t>6</w:t>
      </w:r>
      <w:r>
        <w:rPr>
          <w:sz w:val="24"/>
          <w:szCs w:val="24"/>
        </w:rPr>
        <w:t>.2</w:t>
      </w:r>
      <w:r w:rsidRPr="00656AD3">
        <w:rPr>
          <w:sz w:val="24"/>
          <w:szCs w:val="24"/>
        </w:rPr>
        <w:tab/>
        <w:t xml:space="preserve">Central Government have powers to limit the amount a local authority can increase its Council Tax levels before a local referendum would have to be held asking residents whether they agree to the increase.  </w:t>
      </w:r>
      <w:r w:rsidR="00AF49BF">
        <w:rPr>
          <w:sz w:val="24"/>
          <w:szCs w:val="24"/>
        </w:rPr>
        <w:t xml:space="preserve">For the financial year 2020/21, </w:t>
      </w:r>
      <w:r>
        <w:rPr>
          <w:sz w:val="24"/>
          <w:szCs w:val="24"/>
        </w:rPr>
        <w:t>Central Government state</w:t>
      </w:r>
      <w:r w:rsidR="00AF49BF">
        <w:rPr>
          <w:sz w:val="24"/>
          <w:szCs w:val="24"/>
        </w:rPr>
        <w:t>d</w:t>
      </w:r>
      <w:r>
        <w:rPr>
          <w:sz w:val="24"/>
          <w:szCs w:val="24"/>
        </w:rPr>
        <w:t xml:space="preserve"> that Local Authorities </w:t>
      </w:r>
      <w:r w:rsidR="00AF49BF">
        <w:rPr>
          <w:sz w:val="24"/>
          <w:szCs w:val="24"/>
        </w:rPr>
        <w:t>were able</w:t>
      </w:r>
      <w:r>
        <w:rPr>
          <w:sz w:val="24"/>
          <w:szCs w:val="24"/>
        </w:rPr>
        <w:t xml:space="preserve"> to increase Council Tax by 2%</w:t>
      </w:r>
      <w:r w:rsidR="00AF49BF">
        <w:rPr>
          <w:sz w:val="24"/>
          <w:szCs w:val="24"/>
        </w:rPr>
        <w:t>, or by £5 on a Band D equivalent, whichever is higher,</w:t>
      </w:r>
      <w:r>
        <w:rPr>
          <w:sz w:val="24"/>
          <w:szCs w:val="24"/>
        </w:rPr>
        <w:t xml:space="preserve"> before having to hold a referendum</w:t>
      </w:r>
      <w:r w:rsidR="00D1080D">
        <w:rPr>
          <w:sz w:val="24"/>
          <w:szCs w:val="24"/>
        </w:rPr>
        <w:t xml:space="preserve">. </w:t>
      </w:r>
      <w:r w:rsidR="00F05D8A">
        <w:rPr>
          <w:sz w:val="24"/>
          <w:szCs w:val="24"/>
        </w:rPr>
        <w:t xml:space="preserve"> </w:t>
      </w:r>
      <w:r w:rsidR="00D1080D">
        <w:rPr>
          <w:sz w:val="24"/>
          <w:szCs w:val="24"/>
        </w:rPr>
        <w:t>H</w:t>
      </w:r>
      <w:r w:rsidR="00AF49BF">
        <w:rPr>
          <w:sz w:val="24"/>
          <w:szCs w:val="24"/>
        </w:rPr>
        <w:t>owever, the limits at which a referendum will be required for 2021/22 Council Tax setting have not yet been confirmed.</w:t>
      </w:r>
    </w:p>
    <w:p w14:paraId="0A9BDE5A" w14:textId="77777777" w:rsidR="00054514" w:rsidRDefault="00054514" w:rsidP="00054514">
      <w:pPr>
        <w:ind w:left="851" w:hanging="851"/>
        <w:jc w:val="left"/>
        <w:rPr>
          <w:sz w:val="24"/>
          <w:szCs w:val="24"/>
        </w:rPr>
      </w:pPr>
    </w:p>
    <w:p w14:paraId="18ADD486" w14:textId="30CCD664" w:rsidR="00054514" w:rsidRPr="00656AD3" w:rsidRDefault="00054514" w:rsidP="00054514">
      <w:pPr>
        <w:ind w:left="851" w:hanging="851"/>
        <w:jc w:val="left"/>
        <w:rPr>
          <w:sz w:val="24"/>
          <w:szCs w:val="24"/>
        </w:rPr>
      </w:pPr>
      <w:r w:rsidRPr="00656AD3">
        <w:rPr>
          <w:sz w:val="24"/>
          <w:szCs w:val="24"/>
        </w:rPr>
        <w:t>3.</w:t>
      </w:r>
      <w:r>
        <w:rPr>
          <w:sz w:val="24"/>
          <w:szCs w:val="24"/>
        </w:rPr>
        <w:t>4.</w:t>
      </w:r>
      <w:r w:rsidR="0027437C">
        <w:rPr>
          <w:sz w:val="24"/>
          <w:szCs w:val="24"/>
        </w:rPr>
        <w:t>6</w:t>
      </w:r>
      <w:r>
        <w:rPr>
          <w:sz w:val="24"/>
          <w:szCs w:val="24"/>
        </w:rPr>
        <w:t>.3</w:t>
      </w:r>
      <w:r w:rsidRPr="00656AD3">
        <w:rPr>
          <w:sz w:val="24"/>
          <w:szCs w:val="24"/>
        </w:rPr>
        <w:tab/>
        <w:t>The Council Tax Base is the basis on which the Council Tax is set each year for Mansfield District Council and for the precept raised by Nottinghamshire County Council, the Nottinghamshire Police and Crime Commissioner and Nottinghamshire Fire and Rescue Service.</w:t>
      </w:r>
    </w:p>
    <w:p w14:paraId="5FBEEA80" w14:textId="77777777" w:rsidR="00054514" w:rsidRPr="00656AD3" w:rsidRDefault="00054514" w:rsidP="00054514">
      <w:pPr>
        <w:ind w:left="851" w:hanging="851"/>
        <w:jc w:val="left"/>
        <w:rPr>
          <w:sz w:val="24"/>
          <w:szCs w:val="24"/>
        </w:rPr>
      </w:pPr>
    </w:p>
    <w:p w14:paraId="3A3717D4" w14:textId="26C14DF0" w:rsidR="00054514" w:rsidRPr="00656AD3" w:rsidRDefault="00054514" w:rsidP="00054514">
      <w:pPr>
        <w:ind w:left="851" w:hanging="851"/>
        <w:jc w:val="left"/>
        <w:rPr>
          <w:sz w:val="24"/>
          <w:szCs w:val="24"/>
        </w:rPr>
      </w:pPr>
      <w:r w:rsidRPr="00656AD3">
        <w:rPr>
          <w:sz w:val="24"/>
          <w:szCs w:val="24"/>
        </w:rPr>
        <w:t>3.</w:t>
      </w:r>
      <w:r>
        <w:rPr>
          <w:sz w:val="24"/>
          <w:szCs w:val="24"/>
        </w:rPr>
        <w:t>4.</w:t>
      </w:r>
      <w:r w:rsidR="0027437C">
        <w:rPr>
          <w:sz w:val="24"/>
          <w:szCs w:val="24"/>
        </w:rPr>
        <w:t>6</w:t>
      </w:r>
      <w:r>
        <w:rPr>
          <w:sz w:val="24"/>
          <w:szCs w:val="24"/>
        </w:rPr>
        <w:t>.4</w:t>
      </w:r>
      <w:r w:rsidRPr="00656AD3">
        <w:rPr>
          <w:sz w:val="24"/>
          <w:szCs w:val="24"/>
        </w:rPr>
        <w:tab/>
        <w:t xml:space="preserve">For residents of </w:t>
      </w:r>
      <w:proofErr w:type="spellStart"/>
      <w:r w:rsidRPr="00656AD3">
        <w:rPr>
          <w:sz w:val="24"/>
          <w:szCs w:val="24"/>
        </w:rPr>
        <w:t>Warsop</w:t>
      </w:r>
      <w:proofErr w:type="spellEnd"/>
      <w:r w:rsidRPr="00656AD3">
        <w:rPr>
          <w:sz w:val="24"/>
          <w:szCs w:val="24"/>
        </w:rPr>
        <w:t xml:space="preserve"> there is an additional precept raised by the parish council which requires a separate base to be identified for that area.</w:t>
      </w:r>
    </w:p>
    <w:p w14:paraId="6E99E5FF" w14:textId="77777777" w:rsidR="00054514" w:rsidRPr="00656AD3" w:rsidRDefault="00054514" w:rsidP="00054514">
      <w:pPr>
        <w:ind w:left="851" w:hanging="851"/>
        <w:jc w:val="left"/>
        <w:rPr>
          <w:sz w:val="24"/>
          <w:szCs w:val="24"/>
        </w:rPr>
      </w:pPr>
    </w:p>
    <w:p w14:paraId="602A447D" w14:textId="6AEE8204" w:rsidR="00054514" w:rsidRPr="00656AD3" w:rsidRDefault="00054514" w:rsidP="00F15A8D">
      <w:pPr>
        <w:ind w:left="851" w:hanging="851"/>
        <w:jc w:val="left"/>
        <w:rPr>
          <w:sz w:val="24"/>
          <w:szCs w:val="24"/>
        </w:rPr>
      </w:pPr>
      <w:r w:rsidRPr="00656AD3">
        <w:rPr>
          <w:sz w:val="24"/>
          <w:szCs w:val="24"/>
        </w:rPr>
        <w:t>3.</w:t>
      </w:r>
      <w:r>
        <w:rPr>
          <w:sz w:val="24"/>
          <w:szCs w:val="24"/>
        </w:rPr>
        <w:t>4.</w:t>
      </w:r>
      <w:r w:rsidR="0027437C">
        <w:rPr>
          <w:sz w:val="24"/>
          <w:szCs w:val="24"/>
        </w:rPr>
        <w:t>6</w:t>
      </w:r>
      <w:r>
        <w:rPr>
          <w:sz w:val="24"/>
          <w:szCs w:val="24"/>
        </w:rPr>
        <w:t>.5</w:t>
      </w:r>
      <w:r w:rsidR="00EC5120">
        <w:rPr>
          <w:sz w:val="24"/>
          <w:szCs w:val="24"/>
        </w:rPr>
        <w:tab/>
      </w:r>
      <w:r w:rsidR="00736377" w:rsidRPr="00AC4C97">
        <w:rPr>
          <w:sz w:val="24"/>
          <w:szCs w:val="24"/>
        </w:rPr>
        <w:t>The Council T</w:t>
      </w:r>
      <w:r w:rsidR="00736377">
        <w:rPr>
          <w:sz w:val="24"/>
          <w:szCs w:val="24"/>
        </w:rPr>
        <w:t xml:space="preserve">ax Base </w:t>
      </w:r>
      <w:r w:rsidR="00736377" w:rsidRPr="00AC4C97">
        <w:rPr>
          <w:sz w:val="24"/>
          <w:szCs w:val="24"/>
        </w:rPr>
        <w:t>is based on the Council’s estimate of its Council Tax base c</w:t>
      </w:r>
      <w:r w:rsidR="00736377">
        <w:rPr>
          <w:sz w:val="24"/>
          <w:szCs w:val="24"/>
        </w:rPr>
        <w:t>alculated after 30 November 2020</w:t>
      </w:r>
      <w:r w:rsidR="00736377" w:rsidRPr="00AC4C97">
        <w:rPr>
          <w:sz w:val="24"/>
          <w:szCs w:val="24"/>
        </w:rPr>
        <w:t xml:space="preserve"> in line with statutory requirements</w:t>
      </w:r>
      <w:r w:rsidR="00736377">
        <w:rPr>
          <w:sz w:val="24"/>
          <w:szCs w:val="24"/>
        </w:rPr>
        <w:t>, which was approved on 21</w:t>
      </w:r>
      <w:r w:rsidR="00736377" w:rsidRPr="00AC4C97">
        <w:rPr>
          <w:sz w:val="24"/>
          <w:szCs w:val="24"/>
        </w:rPr>
        <w:t xml:space="preserve"> Decembe</w:t>
      </w:r>
      <w:r w:rsidR="00736377">
        <w:rPr>
          <w:sz w:val="24"/>
          <w:szCs w:val="24"/>
        </w:rPr>
        <w:t>r 2020</w:t>
      </w:r>
      <w:r w:rsidR="00736377" w:rsidRPr="00AC4C97">
        <w:rPr>
          <w:sz w:val="24"/>
          <w:szCs w:val="24"/>
        </w:rPr>
        <w:t>.</w:t>
      </w:r>
      <w:r w:rsidR="00736377">
        <w:rPr>
          <w:sz w:val="24"/>
          <w:szCs w:val="24"/>
        </w:rPr>
        <w:t xml:space="preserve"> The Council Tax Base</w:t>
      </w:r>
      <w:r w:rsidR="00736377" w:rsidRPr="00736377">
        <w:rPr>
          <w:sz w:val="24"/>
          <w:szCs w:val="24"/>
        </w:rPr>
        <w:t xml:space="preserve"> </w:t>
      </w:r>
      <w:r w:rsidR="00736377" w:rsidRPr="00E32CB4">
        <w:rPr>
          <w:sz w:val="24"/>
          <w:szCs w:val="24"/>
        </w:rPr>
        <w:t>to be used for calcula</w:t>
      </w:r>
      <w:r w:rsidR="00736377" w:rsidRPr="00B016EC">
        <w:rPr>
          <w:sz w:val="24"/>
          <w:szCs w:val="24"/>
        </w:rPr>
        <w:t>ting 202</w:t>
      </w:r>
      <w:r w:rsidR="00736377">
        <w:rPr>
          <w:sz w:val="24"/>
          <w:szCs w:val="24"/>
        </w:rPr>
        <w:t>1/22</w:t>
      </w:r>
      <w:r w:rsidR="00736377" w:rsidRPr="003233D5">
        <w:rPr>
          <w:sz w:val="24"/>
          <w:szCs w:val="24"/>
        </w:rPr>
        <w:t xml:space="preserve"> Council Tax</w:t>
      </w:r>
      <w:r w:rsidR="00736377">
        <w:rPr>
          <w:sz w:val="24"/>
          <w:szCs w:val="24"/>
        </w:rPr>
        <w:t xml:space="preserve"> is 29,512.2</w:t>
      </w:r>
    </w:p>
    <w:p w14:paraId="4BE11A8A" w14:textId="00B9F0AC" w:rsidR="00054514" w:rsidRPr="00656AD3" w:rsidRDefault="00054514" w:rsidP="00F15A8D">
      <w:pPr>
        <w:jc w:val="left"/>
        <w:rPr>
          <w:sz w:val="24"/>
          <w:szCs w:val="24"/>
        </w:rPr>
      </w:pPr>
    </w:p>
    <w:p w14:paraId="4EB11271" w14:textId="639592DF" w:rsidR="00AB54E0" w:rsidRDefault="00054514" w:rsidP="00025799">
      <w:pPr>
        <w:ind w:left="851" w:hanging="851"/>
        <w:jc w:val="left"/>
        <w:rPr>
          <w:sz w:val="24"/>
          <w:szCs w:val="24"/>
        </w:rPr>
      </w:pPr>
      <w:r w:rsidRPr="00BA1D3C">
        <w:rPr>
          <w:sz w:val="24"/>
          <w:szCs w:val="24"/>
        </w:rPr>
        <w:t>3.</w:t>
      </w:r>
      <w:r>
        <w:rPr>
          <w:sz w:val="24"/>
          <w:szCs w:val="24"/>
        </w:rPr>
        <w:t>4.</w:t>
      </w:r>
      <w:r w:rsidR="0027437C">
        <w:rPr>
          <w:sz w:val="24"/>
          <w:szCs w:val="24"/>
        </w:rPr>
        <w:t>6</w:t>
      </w:r>
      <w:r w:rsidR="00F15A8D">
        <w:rPr>
          <w:sz w:val="24"/>
          <w:szCs w:val="24"/>
        </w:rPr>
        <w:t>.6</w:t>
      </w:r>
      <w:r w:rsidRPr="00BA1D3C">
        <w:rPr>
          <w:sz w:val="24"/>
          <w:szCs w:val="24"/>
        </w:rPr>
        <w:tab/>
      </w:r>
      <w:r w:rsidR="00025799" w:rsidRPr="008A623D">
        <w:rPr>
          <w:sz w:val="24"/>
          <w:szCs w:val="24"/>
        </w:rPr>
        <w:t xml:space="preserve">The following </w:t>
      </w:r>
      <w:r w:rsidR="00025799" w:rsidRPr="00E33107">
        <w:rPr>
          <w:sz w:val="24"/>
          <w:szCs w:val="24"/>
        </w:rPr>
        <w:t xml:space="preserve">Table (Table </w:t>
      </w:r>
      <w:r w:rsidR="00025799">
        <w:rPr>
          <w:sz w:val="24"/>
          <w:szCs w:val="24"/>
        </w:rPr>
        <w:t>1</w:t>
      </w:r>
      <w:r w:rsidR="00025799" w:rsidRPr="00E33107">
        <w:rPr>
          <w:sz w:val="24"/>
          <w:szCs w:val="24"/>
        </w:rPr>
        <w:t xml:space="preserve">) shows the additional income that the Council </w:t>
      </w:r>
      <w:r w:rsidR="00025799">
        <w:rPr>
          <w:sz w:val="24"/>
          <w:szCs w:val="24"/>
        </w:rPr>
        <w:t>will</w:t>
      </w:r>
      <w:r w:rsidR="00025799" w:rsidRPr="00E33107">
        <w:rPr>
          <w:sz w:val="24"/>
          <w:szCs w:val="24"/>
        </w:rPr>
        <w:t xml:space="preserve"> collect </w:t>
      </w:r>
      <w:r w:rsidR="00025799">
        <w:rPr>
          <w:sz w:val="24"/>
          <w:szCs w:val="24"/>
        </w:rPr>
        <w:t>by</w:t>
      </w:r>
      <w:r w:rsidR="00025799" w:rsidRPr="00E33107">
        <w:rPr>
          <w:sz w:val="24"/>
          <w:szCs w:val="24"/>
        </w:rPr>
        <w:t xml:space="preserve"> increas</w:t>
      </w:r>
      <w:r w:rsidR="00025799">
        <w:rPr>
          <w:sz w:val="24"/>
          <w:szCs w:val="24"/>
        </w:rPr>
        <w:t>ing</w:t>
      </w:r>
      <w:r w:rsidR="00025799" w:rsidRPr="00E33107">
        <w:rPr>
          <w:sz w:val="24"/>
          <w:szCs w:val="24"/>
        </w:rPr>
        <w:t xml:space="preserve"> the Mansfield District Council element of the Council Tax bill</w:t>
      </w:r>
      <w:r w:rsidR="00025799">
        <w:rPr>
          <w:sz w:val="24"/>
          <w:szCs w:val="24"/>
        </w:rPr>
        <w:t xml:space="preserve"> by £5.00 on a band D (which equates to a 2.7% increase)</w:t>
      </w:r>
      <w:r w:rsidR="00025799" w:rsidRPr="00E33107">
        <w:rPr>
          <w:sz w:val="24"/>
          <w:szCs w:val="24"/>
        </w:rPr>
        <w:t>.  It also shows the amount that would be payable annually by each of the Council Tax bands</w:t>
      </w:r>
      <w:r w:rsidR="00025799">
        <w:rPr>
          <w:sz w:val="24"/>
          <w:szCs w:val="24"/>
        </w:rPr>
        <w:t xml:space="preserve"> for the Mansfield District Council element only</w:t>
      </w:r>
      <w:r w:rsidR="00025799" w:rsidRPr="00E33107">
        <w:rPr>
          <w:sz w:val="24"/>
          <w:szCs w:val="24"/>
        </w:rPr>
        <w:t>:</w:t>
      </w:r>
    </w:p>
    <w:p w14:paraId="5337FF10" w14:textId="77777777" w:rsidR="00AB54E0" w:rsidRDefault="00AB54E0" w:rsidP="008378D6">
      <w:pPr>
        <w:jc w:val="center"/>
        <w:rPr>
          <w:sz w:val="24"/>
          <w:szCs w:val="24"/>
        </w:rPr>
      </w:pPr>
    </w:p>
    <w:p w14:paraId="37014C29" w14:textId="6A04DA13" w:rsidR="00713124" w:rsidRDefault="00054514" w:rsidP="008378D6">
      <w:pPr>
        <w:jc w:val="center"/>
        <w:rPr>
          <w:sz w:val="24"/>
          <w:szCs w:val="24"/>
        </w:rPr>
      </w:pPr>
      <w:r w:rsidRPr="00E33107">
        <w:rPr>
          <w:sz w:val="24"/>
          <w:szCs w:val="24"/>
        </w:rPr>
        <w:t xml:space="preserve">Table </w:t>
      </w:r>
      <w:r w:rsidR="00EC5120">
        <w:rPr>
          <w:sz w:val="24"/>
          <w:szCs w:val="24"/>
        </w:rPr>
        <w:t>1</w:t>
      </w:r>
    </w:p>
    <w:p w14:paraId="2B965B33" w14:textId="77777777" w:rsidR="00984792" w:rsidRDefault="00713124" w:rsidP="00984792">
      <w:pPr>
        <w:ind w:left="720" w:hanging="720"/>
        <w:jc w:val="left"/>
        <w:rPr>
          <w:sz w:val="24"/>
          <w:szCs w:val="24"/>
        </w:rPr>
      </w:pPr>
      <w:r>
        <w:rPr>
          <w:sz w:val="24"/>
          <w:szCs w:val="24"/>
        </w:rPr>
        <w:tab/>
      </w:r>
    </w:p>
    <w:tbl>
      <w:tblPr>
        <w:tblW w:w="6662" w:type="dxa"/>
        <w:tblInd w:w="851" w:type="dxa"/>
        <w:tblLook w:val="04A0" w:firstRow="1" w:lastRow="0" w:firstColumn="1" w:lastColumn="0" w:noHBand="0" w:noVBand="1"/>
      </w:tblPr>
      <w:tblGrid>
        <w:gridCol w:w="992"/>
        <w:gridCol w:w="1559"/>
        <w:gridCol w:w="1418"/>
        <w:gridCol w:w="1559"/>
        <w:gridCol w:w="1134"/>
      </w:tblGrid>
      <w:tr w:rsidR="00025799" w:rsidRPr="00984792" w14:paraId="7F1B1E54" w14:textId="77777777" w:rsidTr="00025799">
        <w:trPr>
          <w:trHeight w:val="948"/>
        </w:trPr>
        <w:tc>
          <w:tcPr>
            <w:tcW w:w="992" w:type="dxa"/>
            <w:tcBorders>
              <w:top w:val="single" w:sz="8" w:space="0" w:color="auto"/>
              <w:left w:val="nil"/>
              <w:bottom w:val="nil"/>
              <w:right w:val="nil"/>
            </w:tcBorders>
            <w:shd w:val="clear" w:color="auto" w:fill="auto"/>
            <w:noWrap/>
            <w:vAlign w:val="center"/>
            <w:hideMark/>
          </w:tcPr>
          <w:p w14:paraId="423581AE" w14:textId="77777777" w:rsidR="00025799" w:rsidRPr="00984792" w:rsidRDefault="00025799" w:rsidP="00984792">
            <w:pPr>
              <w:jc w:val="center"/>
              <w:rPr>
                <w:rFonts w:cs="Arial"/>
                <w:b/>
                <w:bCs/>
                <w:color w:val="000000"/>
                <w:sz w:val="24"/>
                <w:szCs w:val="24"/>
              </w:rPr>
            </w:pPr>
            <w:r w:rsidRPr="00984792">
              <w:rPr>
                <w:rFonts w:cs="Arial"/>
                <w:b/>
                <w:bCs/>
                <w:color w:val="000000"/>
                <w:sz w:val="24"/>
                <w:szCs w:val="24"/>
              </w:rPr>
              <w:t>Band</w:t>
            </w:r>
          </w:p>
        </w:tc>
        <w:tc>
          <w:tcPr>
            <w:tcW w:w="1559" w:type="dxa"/>
            <w:tcBorders>
              <w:top w:val="single" w:sz="8" w:space="0" w:color="auto"/>
              <w:left w:val="nil"/>
              <w:bottom w:val="nil"/>
              <w:right w:val="nil"/>
            </w:tcBorders>
            <w:shd w:val="clear" w:color="auto" w:fill="auto"/>
            <w:vAlign w:val="center"/>
            <w:hideMark/>
          </w:tcPr>
          <w:p w14:paraId="19BCB4FF" w14:textId="77777777" w:rsidR="00025799" w:rsidRPr="00984792" w:rsidRDefault="00025799" w:rsidP="00984792">
            <w:pPr>
              <w:jc w:val="center"/>
              <w:rPr>
                <w:rFonts w:cs="Arial"/>
                <w:b/>
                <w:bCs/>
                <w:color w:val="000000"/>
                <w:sz w:val="24"/>
                <w:szCs w:val="24"/>
              </w:rPr>
            </w:pPr>
            <w:r w:rsidRPr="00984792">
              <w:rPr>
                <w:rFonts w:cs="Arial"/>
                <w:b/>
                <w:bCs/>
                <w:color w:val="000000"/>
                <w:sz w:val="24"/>
                <w:szCs w:val="24"/>
              </w:rPr>
              <w:t>Number of Properties</w:t>
            </w:r>
          </w:p>
        </w:tc>
        <w:tc>
          <w:tcPr>
            <w:tcW w:w="1418" w:type="dxa"/>
            <w:tcBorders>
              <w:top w:val="single" w:sz="8" w:space="0" w:color="auto"/>
              <w:left w:val="nil"/>
              <w:bottom w:val="nil"/>
              <w:right w:val="nil"/>
            </w:tcBorders>
            <w:shd w:val="clear" w:color="auto" w:fill="auto"/>
            <w:vAlign w:val="center"/>
            <w:hideMark/>
          </w:tcPr>
          <w:p w14:paraId="77786ABB" w14:textId="77777777" w:rsidR="00025799" w:rsidRPr="00984792" w:rsidRDefault="00025799" w:rsidP="00984792">
            <w:pPr>
              <w:jc w:val="center"/>
              <w:rPr>
                <w:rFonts w:cs="Arial"/>
                <w:b/>
                <w:bCs/>
                <w:color w:val="000000"/>
                <w:sz w:val="24"/>
                <w:szCs w:val="24"/>
              </w:rPr>
            </w:pPr>
            <w:r w:rsidRPr="00984792">
              <w:rPr>
                <w:rFonts w:cs="Arial"/>
                <w:b/>
                <w:bCs/>
                <w:color w:val="000000"/>
                <w:sz w:val="24"/>
                <w:szCs w:val="24"/>
              </w:rPr>
              <w:t>Mansfield District Council</w:t>
            </w:r>
          </w:p>
        </w:tc>
        <w:tc>
          <w:tcPr>
            <w:tcW w:w="1559" w:type="dxa"/>
            <w:tcBorders>
              <w:top w:val="single" w:sz="8" w:space="0" w:color="auto"/>
              <w:left w:val="nil"/>
              <w:bottom w:val="nil"/>
              <w:right w:val="nil"/>
            </w:tcBorders>
            <w:shd w:val="clear" w:color="auto" w:fill="auto"/>
            <w:vAlign w:val="center"/>
            <w:hideMark/>
          </w:tcPr>
          <w:p w14:paraId="61A38ECE" w14:textId="77777777" w:rsidR="00025799" w:rsidRPr="00984792" w:rsidRDefault="00025799" w:rsidP="00984792">
            <w:pPr>
              <w:jc w:val="center"/>
              <w:rPr>
                <w:rFonts w:cs="Arial"/>
                <w:color w:val="000000"/>
                <w:sz w:val="24"/>
                <w:szCs w:val="24"/>
              </w:rPr>
            </w:pPr>
            <w:r w:rsidRPr="00984792">
              <w:rPr>
                <w:rFonts w:cs="Arial"/>
                <w:color w:val="000000"/>
                <w:sz w:val="24"/>
                <w:szCs w:val="24"/>
              </w:rPr>
              <w:t>£5 on a Band D (*)</w:t>
            </w:r>
          </w:p>
        </w:tc>
        <w:tc>
          <w:tcPr>
            <w:tcW w:w="1134" w:type="dxa"/>
            <w:tcBorders>
              <w:top w:val="single" w:sz="8" w:space="0" w:color="auto"/>
              <w:left w:val="nil"/>
              <w:bottom w:val="nil"/>
              <w:right w:val="nil"/>
            </w:tcBorders>
            <w:shd w:val="clear" w:color="auto" w:fill="auto"/>
            <w:vAlign w:val="center"/>
            <w:hideMark/>
          </w:tcPr>
          <w:p w14:paraId="5AAA4CE0" w14:textId="12FC1374" w:rsidR="00025799" w:rsidRPr="00984792" w:rsidRDefault="00025799" w:rsidP="00984792">
            <w:pPr>
              <w:jc w:val="center"/>
              <w:rPr>
                <w:rFonts w:cs="Arial"/>
                <w:color w:val="000000"/>
                <w:sz w:val="24"/>
                <w:szCs w:val="24"/>
              </w:rPr>
            </w:pPr>
            <w:r>
              <w:rPr>
                <w:rFonts w:cs="Arial"/>
                <w:color w:val="000000"/>
                <w:sz w:val="24"/>
                <w:szCs w:val="24"/>
              </w:rPr>
              <w:t>Change from 2020/21</w:t>
            </w:r>
          </w:p>
        </w:tc>
      </w:tr>
      <w:tr w:rsidR="00025799" w:rsidRPr="00984792" w14:paraId="1270560A" w14:textId="77777777" w:rsidTr="00025799">
        <w:trPr>
          <w:trHeight w:val="300"/>
        </w:trPr>
        <w:tc>
          <w:tcPr>
            <w:tcW w:w="992" w:type="dxa"/>
            <w:tcBorders>
              <w:top w:val="single" w:sz="8" w:space="0" w:color="auto"/>
              <w:left w:val="nil"/>
              <w:bottom w:val="nil"/>
              <w:right w:val="nil"/>
            </w:tcBorders>
            <w:shd w:val="clear" w:color="auto" w:fill="auto"/>
            <w:noWrap/>
            <w:vAlign w:val="center"/>
            <w:hideMark/>
          </w:tcPr>
          <w:p w14:paraId="4E67681D" w14:textId="77777777" w:rsidR="00025799" w:rsidRPr="00984792" w:rsidRDefault="00025799" w:rsidP="00984792">
            <w:pPr>
              <w:jc w:val="center"/>
              <w:rPr>
                <w:rFonts w:cs="Arial"/>
                <w:color w:val="000000"/>
                <w:sz w:val="24"/>
                <w:szCs w:val="24"/>
              </w:rPr>
            </w:pPr>
            <w:r w:rsidRPr="00984792">
              <w:rPr>
                <w:rFonts w:cs="Arial"/>
                <w:color w:val="000000"/>
                <w:sz w:val="24"/>
                <w:szCs w:val="24"/>
              </w:rPr>
              <w:t>A</w:t>
            </w:r>
          </w:p>
        </w:tc>
        <w:tc>
          <w:tcPr>
            <w:tcW w:w="1559" w:type="dxa"/>
            <w:tcBorders>
              <w:top w:val="single" w:sz="8" w:space="0" w:color="auto"/>
              <w:left w:val="nil"/>
              <w:bottom w:val="nil"/>
              <w:right w:val="nil"/>
            </w:tcBorders>
            <w:shd w:val="clear" w:color="auto" w:fill="auto"/>
            <w:vAlign w:val="center"/>
            <w:hideMark/>
          </w:tcPr>
          <w:p w14:paraId="7011F414" w14:textId="77777777" w:rsidR="00025799" w:rsidRPr="00984792" w:rsidRDefault="00025799" w:rsidP="00CC55FE">
            <w:pPr>
              <w:jc w:val="center"/>
              <w:rPr>
                <w:rFonts w:cs="Arial"/>
                <w:color w:val="000000"/>
                <w:sz w:val="24"/>
                <w:szCs w:val="24"/>
              </w:rPr>
            </w:pPr>
            <w:r w:rsidRPr="00984792">
              <w:rPr>
                <w:rFonts w:cs="Arial"/>
                <w:color w:val="000000"/>
                <w:sz w:val="24"/>
                <w:szCs w:val="24"/>
              </w:rPr>
              <w:t>27,359</w:t>
            </w:r>
          </w:p>
        </w:tc>
        <w:tc>
          <w:tcPr>
            <w:tcW w:w="1418" w:type="dxa"/>
            <w:tcBorders>
              <w:top w:val="single" w:sz="8" w:space="0" w:color="auto"/>
              <w:left w:val="nil"/>
              <w:bottom w:val="nil"/>
              <w:right w:val="nil"/>
            </w:tcBorders>
            <w:shd w:val="clear" w:color="auto" w:fill="auto"/>
            <w:noWrap/>
            <w:vAlign w:val="center"/>
            <w:hideMark/>
          </w:tcPr>
          <w:p w14:paraId="7BCD9168" w14:textId="77777777" w:rsidR="00025799" w:rsidRPr="00984792" w:rsidRDefault="00025799" w:rsidP="00D56060">
            <w:pPr>
              <w:jc w:val="center"/>
              <w:rPr>
                <w:rFonts w:cs="Arial"/>
                <w:color w:val="000000"/>
                <w:sz w:val="24"/>
                <w:szCs w:val="24"/>
              </w:rPr>
            </w:pPr>
            <w:r w:rsidRPr="00984792">
              <w:rPr>
                <w:rFonts w:cs="Arial"/>
                <w:color w:val="000000"/>
                <w:sz w:val="24"/>
                <w:szCs w:val="24"/>
              </w:rPr>
              <w:t>126.48</w:t>
            </w:r>
          </w:p>
        </w:tc>
        <w:tc>
          <w:tcPr>
            <w:tcW w:w="1559" w:type="dxa"/>
            <w:tcBorders>
              <w:top w:val="single" w:sz="8" w:space="0" w:color="auto"/>
              <w:left w:val="nil"/>
              <w:bottom w:val="nil"/>
              <w:right w:val="nil"/>
            </w:tcBorders>
            <w:shd w:val="clear" w:color="auto" w:fill="auto"/>
            <w:noWrap/>
            <w:vAlign w:val="center"/>
            <w:hideMark/>
          </w:tcPr>
          <w:p w14:paraId="18504396" w14:textId="77777777" w:rsidR="00025799" w:rsidRPr="00984792" w:rsidRDefault="00025799" w:rsidP="00D56060">
            <w:pPr>
              <w:jc w:val="center"/>
              <w:rPr>
                <w:rFonts w:cs="Arial"/>
                <w:color w:val="000000"/>
                <w:sz w:val="24"/>
                <w:szCs w:val="24"/>
              </w:rPr>
            </w:pPr>
            <w:r w:rsidRPr="00984792">
              <w:rPr>
                <w:rFonts w:cs="Arial"/>
                <w:color w:val="000000"/>
                <w:sz w:val="24"/>
                <w:szCs w:val="24"/>
              </w:rPr>
              <w:t>129.81</w:t>
            </w:r>
          </w:p>
        </w:tc>
        <w:tc>
          <w:tcPr>
            <w:tcW w:w="1134" w:type="dxa"/>
            <w:tcBorders>
              <w:top w:val="single" w:sz="8" w:space="0" w:color="auto"/>
              <w:left w:val="nil"/>
              <w:bottom w:val="nil"/>
              <w:right w:val="nil"/>
            </w:tcBorders>
            <w:shd w:val="clear" w:color="auto" w:fill="auto"/>
            <w:noWrap/>
            <w:vAlign w:val="center"/>
          </w:tcPr>
          <w:p w14:paraId="5A3D8E42" w14:textId="43C50C95" w:rsidR="00025799" w:rsidRPr="00984792" w:rsidRDefault="00025799" w:rsidP="00D56060">
            <w:pPr>
              <w:jc w:val="center"/>
              <w:rPr>
                <w:rFonts w:cs="Arial"/>
                <w:color w:val="000000"/>
                <w:sz w:val="24"/>
                <w:szCs w:val="24"/>
              </w:rPr>
            </w:pPr>
            <w:r>
              <w:rPr>
                <w:rFonts w:cs="Arial"/>
                <w:color w:val="000000"/>
                <w:sz w:val="24"/>
                <w:szCs w:val="24"/>
              </w:rPr>
              <w:t>3.33</w:t>
            </w:r>
          </w:p>
        </w:tc>
      </w:tr>
      <w:tr w:rsidR="00025799" w:rsidRPr="00984792" w14:paraId="54E68C8D" w14:textId="77777777" w:rsidTr="00025799">
        <w:trPr>
          <w:trHeight w:val="300"/>
        </w:trPr>
        <w:tc>
          <w:tcPr>
            <w:tcW w:w="992" w:type="dxa"/>
            <w:tcBorders>
              <w:top w:val="nil"/>
              <w:left w:val="nil"/>
              <w:bottom w:val="nil"/>
              <w:right w:val="nil"/>
            </w:tcBorders>
            <w:shd w:val="clear" w:color="auto" w:fill="auto"/>
            <w:noWrap/>
            <w:vAlign w:val="center"/>
            <w:hideMark/>
          </w:tcPr>
          <w:p w14:paraId="7AA16D95" w14:textId="77777777" w:rsidR="00025799" w:rsidRPr="00984792" w:rsidRDefault="00025799" w:rsidP="00984792">
            <w:pPr>
              <w:jc w:val="center"/>
              <w:rPr>
                <w:rFonts w:cs="Arial"/>
                <w:color w:val="000000"/>
                <w:sz w:val="24"/>
                <w:szCs w:val="24"/>
              </w:rPr>
            </w:pPr>
            <w:r w:rsidRPr="00984792">
              <w:rPr>
                <w:rFonts w:cs="Arial"/>
                <w:color w:val="000000"/>
                <w:sz w:val="24"/>
                <w:szCs w:val="24"/>
              </w:rPr>
              <w:t>B</w:t>
            </w:r>
          </w:p>
        </w:tc>
        <w:tc>
          <w:tcPr>
            <w:tcW w:w="1559" w:type="dxa"/>
            <w:tcBorders>
              <w:top w:val="nil"/>
              <w:left w:val="nil"/>
              <w:bottom w:val="nil"/>
              <w:right w:val="nil"/>
            </w:tcBorders>
            <w:shd w:val="clear" w:color="auto" w:fill="auto"/>
            <w:vAlign w:val="center"/>
            <w:hideMark/>
          </w:tcPr>
          <w:p w14:paraId="1DF5F6ED" w14:textId="77777777" w:rsidR="00025799" w:rsidRPr="00984792" w:rsidRDefault="00025799" w:rsidP="00CC55FE">
            <w:pPr>
              <w:jc w:val="center"/>
              <w:rPr>
                <w:rFonts w:cs="Arial"/>
                <w:color w:val="000000"/>
                <w:sz w:val="24"/>
                <w:szCs w:val="24"/>
              </w:rPr>
            </w:pPr>
            <w:r w:rsidRPr="00984792">
              <w:rPr>
                <w:rFonts w:cs="Arial"/>
                <w:color w:val="000000"/>
                <w:sz w:val="24"/>
                <w:szCs w:val="24"/>
              </w:rPr>
              <w:t>9,703</w:t>
            </w:r>
          </w:p>
        </w:tc>
        <w:tc>
          <w:tcPr>
            <w:tcW w:w="1418" w:type="dxa"/>
            <w:tcBorders>
              <w:top w:val="nil"/>
              <w:left w:val="nil"/>
              <w:bottom w:val="nil"/>
              <w:right w:val="nil"/>
            </w:tcBorders>
            <w:shd w:val="clear" w:color="auto" w:fill="auto"/>
            <w:noWrap/>
            <w:vAlign w:val="center"/>
            <w:hideMark/>
          </w:tcPr>
          <w:p w14:paraId="000E9714" w14:textId="77777777" w:rsidR="00025799" w:rsidRPr="00984792" w:rsidRDefault="00025799" w:rsidP="00D56060">
            <w:pPr>
              <w:jc w:val="center"/>
              <w:rPr>
                <w:rFonts w:cs="Arial"/>
                <w:color w:val="000000"/>
                <w:sz w:val="24"/>
                <w:szCs w:val="24"/>
              </w:rPr>
            </w:pPr>
            <w:r w:rsidRPr="00984792">
              <w:rPr>
                <w:rFonts w:cs="Arial"/>
                <w:color w:val="000000"/>
                <w:sz w:val="24"/>
                <w:szCs w:val="24"/>
              </w:rPr>
              <w:t>147.56</w:t>
            </w:r>
          </w:p>
        </w:tc>
        <w:tc>
          <w:tcPr>
            <w:tcW w:w="1559" w:type="dxa"/>
            <w:tcBorders>
              <w:top w:val="nil"/>
              <w:left w:val="nil"/>
              <w:bottom w:val="nil"/>
              <w:right w:val="nil"/>
            </w:tcBorders>
            <w:shd w:val="clear" w:color="auto" w:fill="auto"/>
            <w:vAlign w:val="center"/>
            <w:hideMark/>
          </w:tcPr>
          <w:p w14:paraId="4AC6777D" w14:textId="77777777" w:rsidR="00025799" w:rsidRPr="00984792" w:rsidRDefault="00025799" w:rsidP="00D56060">
            <w:pPr>
              <w:jc w:val="center"/>
              <w:rPr>
                <w:rFonts w:cs="Arial"/>
                <w:color w:val="000000"/>
                <w:sz w:val="24"/>
                <w:szCs w:val="24"/>
              </w:rPr>
            </w:pPr>
            <w:r w:rsidRPr="00984792">
              <w:rPr>
                <w:rFonts w:cs="Arial"/>
                <w:color w:val="000000"/>
                <w:sz w:val="24"/>
                <w:szCs w:val="24"/>
              </w:rPr>
              <w:t>151.45</w:t>
            </w:r>
          </w:p>
        </w:tc>
        <w:tc>
          <w:tcPr>
            <w:tcW w:w="1134" w:type="dxa"/>
            <w:tcBorders>
              <w:top w:val="nil"/>
              <w:left w:val="nil"/>
              <w:bottom w:val="nil"/>
              <w:right w:val="nil"/>
            </w:tcBorders>
            <w:shd w:val="clear" w:color="auto" w:fill="auto"/>
            <w:vAlign w:val="center"/>
          </w:tcPr>
          <w:p w14:paraId="3AE2CA1B" w14:textId="211887A8" w:rsidR="00025799" w:rsidRPr="00984792" w:rsidRDefault="00025799" w:rsidP="00D56060">
            <w:pPr>
              <w:jc w:val="center"/>
              <w:rPr>
                <w:rFonts w:cs="Arial"/>
                <w:color w:val="000000"/>
                <w:sz w:val="24"/>
                <w:szCs w:val="24"/>
              </w:rPr>
            </w:pPr>
            <w:r>
              <w:rPr>
                <w:rFonts w:cs="Arial"/>
                <w:color w:val="000000"/>
                <w:sz w:val="24"/>
                <w:szCs w:val="24"/>
              </w:rPr>
              <w:t>3.89</w:t>
            </w:r>
          </w:p>
        </w:tc>
      </w:tr>
      <w:tr w:rsidR="00025799" w:rsidRPr="00984792" w14:paraId="52E7E426" w14:textId="77777777" w:rsidTr="00025799">
        <w:trPr>
          <w:trHeight w:val="300"/>
        </w:trPr>
        <w:tc>
          <w:tcPr>
            <w:tcW w:w="992" w:type="dxa"/>
            <w:tcBorders>
              <w:top w:val="nil"/>
              <w:left w:val="nil"/>
              <w:bottom w:val="nil"/>
              <w:right w:val="nil"/>
            </w:tcBorders>
            <w:shd w:val="clear" w:color="auto" w:fill="auto"/>
            <w:noWrap/>
            <w:vAlign w:val="center"/>
            <w:hideMark/>
          </w:tcPr>
          <w:p w14:paraId="2BAAE453" w14:textId="77777777" w:rsidR="00025799" w:rsidRPr="00984792" w:rsidRDefault="00025799" w:rsidP="00984792">
            <w:pPr>
              <w:jc w:val="center"/>
              <w:rPr>
                <w:rFonts w:cs="Arial"/>
                <w:color w:val="000000"/>
                <w:sz w:val="24"/>
                <w:szCs w:val="24"/>
              </w:rPr>
            </w:pPr>
            <w:r w:rsidRPr="00984792">
              <w:rPr>
                <w:rFonts w:cs="Arial"/>
                <w:color w:val="000000"/>
                <w:sz w:val="24"/>
                <w:szCs w:val="24"/>
              </w:rPr>
              <w:t>C</w:t>
            </w:r>
          </w:p>
        </w:tc>
        <w:tc>
          <w:tcPr>
            <w:tcW w:w="1559" w:type="dxa"/>
            <w:tcBorders>
              <w:top w:val="nil"/>
              <w:left w:val="nil"/>
              <w:bottom w:val="nil"/>
              <w:right w:val="nil"/>
            </w:tcBorders>
            <w:shd w:val="clear" w:color="auto" w:fill="auto"/>
            <w:vAlign w:val="center"/>
            <w:hideMark/>
          </w:tcPr>
          <w:p w14:paraId="56061B98" w14:textId="77777777" w:rsidR="00025799" w:rsidRPr="00984792" w:rsidRDefault="00025799" w:rsidP="00CC55FE">
            <w:pPr>
              <w:jc w:val="center"/>
              <w:rPr>
                <w:rFonts w:cs="Arial"/>
                <w:color w:val="000000"/>
                <w:sz w:val="24"/>
                <w:szCs w:val="24"/>
              </w:rPr>
            </w:pPr>
            <w:r w:rsidRPr="00984792">
              <w:rPr>
                <w:rFonts w:cs="Arial"/>
                <w:color w:val="000000"/>
                <w:sz w:val="24"/>
                <w:szCs w:val="24"/>
              </w:rPr>
              <w:t>6,782</w:t>
            </w:r>
          </w:p>
        </w:tc>
        <w:tc>
          <w:tcPr>
            <w:tcW w:w="1418" w:type="dxa"/>
            <w:tcBorders>
              <w:top w:val="nil"/>
              <w:left w:val="nil"/>
              <w:bottom w:val="nil"/>
              <w:right w:val="nil"/>
            </w:tcBorders>
            <w:shd w:val="clear" w:color="auto" w:fill="auto"/>
            <w:noWrap/>
            <w:vAlign w:val="center"/>
            <w:hideMark/>
          </w:tcPr>
          <w:p w14:paraId="435D6F15" w14:textId="77777777" w:rsidR="00025799" w:rsidRPr="00984792" w:rsidRDefault="00025799" w:rsidP="00D56060">
            <w:pPr>
              <w:jc w:val="center"/>
              <w:rPr>
                <w:rFonts w:cs="Arial"/>
                <w:color w:val="000000"/>
                <w:sz w:val="24"/>
                <w:szCs w:val="24"/>
              </w:rPr>
            </w:pPr>
            <w:r w:rsidRPr="00984792">
              <w:rPr>
                <w:rFonts w:cs="Arial"/>
                <w:color w:val="000000"/>
                <w:sz w:val="24"/>
                <w:szCs w:val="24"/>
              </w:rPr>
              <w:t>168.64</w:t>
            </w:r>
          </w:p>
        </w:tc>
        <w:tc>
          <w:tcPr>
            <w:tcW w:w="1559" w:type="dxa"/>
            <w:tcBorders>
              <w:top w:val="nil"/>
              <w:left w:val="nil"/>
              <w:bottom w:val="nil"/>
              <w:right w:val="nil"/>
            </w:tcBorders>
            <w:shd w:val="clear" w:color="auto" w:fill="auto"/>
            <w:vAlign w:val="center"/>
            <w:hideMark/>
          </w:tcPr>
          <w:p w14:paraId="727B62CD" w14:textId="77777777" w:rsidR="00025799" w:rsidRPr="00984792" w:rsidRDefault="00025799" w:rsidP="00D56060">
            <w:pPr>
              <w:jc w:val="center"/>
              <w:rPr>
                <w:rFonts w:cs="Arial"/>
                <w:color w:val="000000"/>
                <w:sz w:val="24"/>
                <w:szCs w:val="24"/>
              </w:rPr>
            </w:pPr>
            <w:r w:rsidRPr="00984792">
              <w:rPr>
                <w:rFonts w:cs="Arial"/>
                <w:color w:val="000000"/>
                <w:sz w:val="24"/>
                <w:szCs w:val="24"/>
              </w:rPr>
              <w:t>173.08</w:t>
            </w:r>
          </w:p>
        </w:tc>
        <w:tc>
          <w:tcPr>
            <w:tcW w:w="1134" w:type="dxa"/>
            <w:tcBorders>
              <w:top w:val="nil"/>
              <w:left w:val="nil"/>
              <w:bottom w:val="nil"/>
              <w:right w:val="nil"/>
            </w:tcBorders>
            <w:shd w:val="clear" w:color="auto" w:fill="auto"/>
            <w:vAlign w:val="center"/>
          </w:tcPr>
          <w:p w14:paraId="028A3B14" w14:textId="6C94BCCF" w:rsidR="00025799" w:rsidRPr="00984792" w:rsidRDefault="00025799" w:rsidP="00D56060">
            <w:pPr>
              <w:jc w:val="center"/>
              <w:rPr>
                <w:rFonts w:cs="Arial"/>
                <w:color w:val="000000"/>
                <w:sz w:val="24"/>
                <w:szCs w:val="24"/>
              </w:rPr>
            </w:pPr>
            <w:r>
              <w:rPr>
                <w:rFonts w:cs="Arial"/>
                <w:color w:val="000000"/>
                <w:sz w:val="24"/>
                <w:szCs w:val="24"/>
              </w:rPr>
              <w:t>4.44</w:t>
            </w:r>
          </w:p>
        </w:tc>
      </w:tr>
      <w:tr w:rsidR="00025799" w:rsidRPr="00984792" w14:paraId="50D34FB4" w14:textId="77777777" w:rsidTr="00025799">
        <w:trPr>
          <w:trHeight w:val="300"/>
        </w:trPr>
        <w:tc>
          <w:tcPr>
            <w:tcW w:w="992" w:type="dxa"/>
            <w:tcBorders>
              <w:top w:val="nil"/>
              <w:left w:val="nil"/>
              <w:bottom w:val="nil"/>
              <w:right w:val="nil"/>
            </w:tcBorders>
            <w:shd w:val="clear" w:color="auto" w:fill="auto"/>
            <w:noWrap/>
            <w:vAlign w:val="center"/>
            <w:hideMark/>
          </w:tcPr>
          <w:p w14:paraId="2528681A" w14:textId="77777777" w:rsidR="00025799" w:rsidRPr="00984792" w:rsidRDefault="00025799" w:rsidP="00984792">
            <w:pPr>
              <w:jc w:val="center"/>
              <w:rPr>
                <w:rFonts w:cs="Arial"/>
                <w:color w:val="000000"/>
                <w:sz w:val="24"/>
                <w:szCs w:val="24"/>
              </w:rPr>
            </w:pPr>
            <w:r w:rsidRPr="00984792">
              <w:rPr>
                <w:rFonts w:cs="Arial"/>
                <w:color w:val="000000"/>
                <w:sz w:val="24"/>
                <w:szCs w:val="24"/>
              </w:rPr>
              <w:t>D</w:t>
            </w:r>
          </w:p>
        </w:tc>
        <w:tc>
          <w:tcPr>
            <w:tcW w:w="1559" w:type="dxa"/>
            <w:tcBorders>
              <w:top w:val="nil"/>
              <w:left w:val="nil"/>
              <w:bottom w:val="nil"/>
              <w:right w:val="nil"/>
            </w:tcBorders>
            <w:shd w:val="clear" w:color="auto" w:fill="auto"/>
            <w:vAlign w:val="center"/>
            <w:hideMark/>
          </w:tcPr>
          <w:p w14:paraId="1A2E83FD" w14:textId="77777777" w:rsidR="00025799" w:rsidRPr="00984792" w:rsidRDefault="00025799" w:rsidP="00CC55FE">
            <w:pPr>
              <w:jc w:val="center"/>
              <w:rPr>
                <w:rFonts w:cs="Arial"/>
                <w:color w:val="000000"/>
                <w:sz w:val="24"/>
                <w:szCs w:val="24"/>
              </w:rPr>
            </w:pPr>
            <w:r w:rsidRPr="00984792">
              <w:rPr>
                <w:rFonts w:cs="Arial"/>
                <w:color w:val="000000"/>
                <w:sz w:val="24"/>
                <w:szCs w:val="24"/>
              </w:rPr>
              <w:t>3,934</w:t>
            </w:r>
          </w:p>
        </w:tc>
        <w:tc>
          <w:tcPr>
            <w:tcW w:w="1418" w:type="dxa"/>
            <w:tcBorders>
              <w:top w:val="nil"/>
              <w:left w:val="nil"/>
              <w:bottom w:val="nil"/>
              <w:right w:val="nil"/>
            </w:tcBorders>
            <w:shd w:val="clear" w:color="auto" w:fill="auto"/>
            <w:noWrap/>
            <w:vAlign w:val="center"/>
            <w:hideMark/>
          </w:tcPr>
          <w:p w14:paraId="058A52E3" w14:textId="77777777" w:rsidR="00025799" w:rsidRPr="00984792" w:rsidRDefault="00025799" w:rsidP="00D56060">
            <w:pPr>
              <w:jc w:val="center"/>
              <w:rPr>
                <w:rFonts w:cs="Arial"/>
                <w:color w:val="000000"/>
                <w:sz w:val="24"/>
                <w:szCs w:val="24"/>
              </w:rPr>
            </w:pPr>
            <w:r w:rsidRPr="00984792">
              <w:rPr>
                <w:rFonts w:cs="Arial"/>
                <w:color w:val="000000"/>
                <w:sz w:val="24"/>
                <w:szCs w:val="24"/>
              </w:rPr>
              <w:t>189.72</w:t>
            </w:r>
          </w:p>
        </w:tc>
        <w:tc>
          <w:tcPr>
            <w:tcW w:w="1559" w:type="dxa"/>
            <w:tcBorders>
              <w:top w:val="nil"/>
              <w:left w:val="nil"/>
              <w:bottom w:val="nil"/>
              <w:right w:val="nil"/>
            </w:tcBorders>
            <w:shd w:val="clear" w:color="auto" w:fill="auto"/>
            <w:vAlign w:val="center"/>
            <w:hideMark/>
          </w:tcPr>
          <w:p w14:paraId="269A7701" w14:textId="77777777" w:rsidR="00025799" w:rsidRPr="00984792" w:rsidRDefault="00025799" w:rsidP="00D56060">
            <w:pPr>
              <w:jc w:val="center"/>
              <w:rPr>
                <w:rFonts w:cs="Arial"/>
                <w:color w:val="000000"/>
                <w:sz w:val="24"/>
                <w:szCs w:val="24"/>
              </w:rPr>
            </w:pPr>
            <w:r w:rsidRPr="00984792">
              <w:rPr>
                <w:rFonts w:cs="Arial"/>
                <w:color w:val="000000"/>
                <w:sz w:val="24"/>
                <w:szCs w:val="24"/>
              </w:rPr>
              <w:t>194.72</w:t>
            </w:r>
          </w:p>
        </w:tc>
        <w:tc>
          <w:tcPr>
            <w:tcW w:w="1134" w:type="dxa"/>
            <w:tcBorders>
              <w:top w:val="nil"/>
              <w:left w:val="nil"/>
              <w:bottom w:val="nil"/>
              <w:right w:val="nil"/>
            </w:tcBorders>
            <w:shd w:val="clear" w:color="auto" w:fill="auto"/>
            <w:vAlign w:val="center"/>
          </w:tcPr>
          <w:p w14:paraId="0ED41F1C" w14:textId="79BD4337" w:rsidR="00025799" w:rsidRPr="00984792" w:rsidRDefault="00025799" w:rsidP="00D56060">
            <w:pPr>
              <w:jc w:val="center"/>
              <w:rPr>
                <w:rFonts w:cs="Arial"/>
                <w:color w:val="000000"/>
                <w:sz w:val="24"/>
                <w:szCs w:val="24"/>
              </w:rPr>
            </w:pPr>
            <w:r>
              <w:rPr>
                <w:rFonts w:cs="Arial"/>
                <w:color w:val="000000"/>
                <w:sz w:val="24"/>
                <w:szCs w:val="24"/>
              </w:rPr>
              <w:t>5.00</w:t>
            </w:r>
          </w:p>
        </w:tc>
      </w:tr>
      <w:tr w:rsidR="00025799" w:rsidRPr="00984792" w14:paraId="6455F6F7" w14:textId="77777777" w:rsidTr="00025799">
        <w:trPr>
          <w:trHeight w:val="300"/>
        </w:trPr>
        <w:tc>
          <w:tcPr>
            <w:tcW w:w="992" w:type="dxa"/>
            <w:tcBorders>
              <w:top w:val="nil"/>
              <w:left w:val="nil"/>
              <w:bottom w:val="nil"/>
              <w:right w:val="nil"/>
            </w:tcBorders>
            <w:shd w:val="clear" w:color="auto" w:fill="auto"/>
            <w:noWrap/>
            <w:vAlign w:val="center"/>
            <w:hideMark/>
          </w:tcPr>
          <w:p w14:paraId="55A587BA" w14:textId="77777777" w:rsidR="00025799" w:rsidRPr="00984792" w:rsidRDefault="00025799" w:rsidP="00984792">
            <w:pPr>
              <w:jc w:val="center"/>
              <w:rPr>
                <w:rFonts w:cs="Arial"/>
                <w:color w:val="000000"/>
                <w:sz w:val="24"/>
                <w:szCs w:val="24"/>
              </w:rPr>
            </w:pPr>
            <w:r w:rsidRPr="00984792">
              <w:rPr>
                <w:rFonts w:cs="Arial"/>
                <w:color w:val="000000"/>
                <w:sz w:val="24"/>
                <w:szCs w:val="24"/>
              </w:rPr>
              <w:t>E</w:t>
            </w:r>
          </w:p>
        </w:tc>
        <w:tc>
          <w:tcPr>
            <w:tcW w:w="1559" w:type="dxa"/>
            <w:tcBorders>
              <w:top w:val="nil"/>
              <w:left w:val="nil"/>
              <w:bottom w:val="nil"/>
              <w:right w:val="nil"/>
            </w:tcBorders>
            <w:shd w:val="clear" w:color="auto" w:fill="auto"/>
            <w:vAlign w:val="center"/>
            <w:hideMark/>
          </w:tcPr>
          <w:p w14:paraId="4A54D485" w14:textId="77777777" w:rsidR="00025799" w:rsidRPr="00984792" w:rsidRDefault="00025799" w:rsidP="00CC55FE">
            <w:pPr>
              <w:jc w:val="center"/>
              <w:rPr>
                <w:rFonts w:cs="Arial"/>
                <w:color w:val="000000"/>
                <w:sz w:val="24"/>
                <w:szCs w:val="24"/>
              </w:rPr>
            </w:pPr>
            <w:r w:rsidRPr="00984792">
              <w:rPr>
                <w:rFonts w:cs="Arial"/>
                <w:color w:val="000000"/>
                <w:sz w:val="24"/>
                <w:szCs w:val="24"/>
              </w:rPr>
              <w:t>1,583</w:t>
            </w:r>
          </w:p>
        </w:tc>
        <w:tc>
          <w:tcPr>
            <w:tcW w:w="1418" w:type="dxa"/>
            <w:tcBorders>
              <w:top w:val="nil"/>
              <w:left w:val="nil"/>
              <w:bottom w:val="nil"/>
              <w:right w:val="nil"/>
            </w:tcBorders>
            <w:shd w:val="clear" w:color="auto" w:fill="auto"/>
            <w:noWrap/>
            <w:vAlign w:val="center"/>
            <w:hideMark/>
          </w:tcPr>
          <w:p w14:paraId="3369C603" w14:textId="77777777" w:rsidR="00025799" w:rsidRPr="00984792" w:rsidRDefault="00025799" w:rsidP="00D56060">
            <w:pPr>
              <w:jc w:val="center"/>
              <w:rPr>
                <w:rFonts w:cs="Arial"/>
                <w:color w:val="000000"/>
                <w:sz w:val="24"/>
                <w:szCs w:val="24"/>
              </w:rPr>
            </w:pPr>
            <w:r w:rsidRPr="00984792">
              <w:rPr>
                <w:rFonts w:cs="Arial"/>
                <w:color w:val="000000"/>
                <w:sz w:val="24"/>
                <w:szCs w:val="24"/>
              </w:rPr>
              <w:t>231.88</w:t>
            </w:r>
          </w:p>
        </w:tc>
        <w:tc>
          <w:tcPr>
            <w:tcW w:w="1559" w:type="dxa"/>
            <w:tcBorders>
              <w:top w:val="nil"/>
              <w:left w:val="nil"/>
              <w:bottom w:val="nil"/>
              <w:right w:val="nil"/>
            </w:tcBorders>
            <w:shd w:val="clear" w:color="auto" w:fill="auto"/>
            <w:vAlign w:val="center"/>
            <w:hideMark/>
          </w:tcPr>
          <w:p w14:paraId="7BDE36CE" w14:textId="77777777" w:rsidR="00025799" w:rsidRPr="00984792" w:rsidRDefault="00025799" w:rsidP="00D56060">
            <w:pPr>
              <w:jc w:val="center"/>
              <w:rPr>
                <w:rFonts w:cs="Arial"/>
                <w:color w:val="000000"/>
                <w:sz w:val="24"/>
                <w:szCs w:val="24"/>
              </w:rPr>
            </w:pPr>
            <w:r w:rsidRPr="00984792">
              <w:rPr>
                <w:rFonts w:cs="Arial"/>
                <w:color w:val="000000"/>
                <w:sz w:val="24"/>
                <w:szCs w:val="24"/>
              </w:rPr>
              <w:t>237.99</w:t>
            </w:r>
          </w:p>
        </w:tc>
        <w:tc>
          <w:tcPr>
            <w:tcW w:w="1134" w:type="dxa"/>
            <w:tcBorders>
              <w:top w:val="nil"/>
              <w:left w:val="nil"/>
              <w:bottom w:val="nil"/>
              <w:right w:val="nil"/>
            </w:tcBorders>
            <w:shd w:val="clear" w:color="auto" w:fill="auto"/>
            <w:vAlign w:val="center"/>
          </w:tcPr>
          <w:p w14:paraId="16E97540" w14:textId="218061DF" w:rsidR="00025799" w:rsidRPr="00984792" w:rsidRDefault="00025799" w:rsidP="00D56060">
            <w:pPr>
              <w:jc w:val="center"/>
              <w:rPr>
                <w:rFonts w:cs="Arial"/>
                <w:color w:val="000000"/>
                <w:sz w:val="24"/>
                <w:szCs w:val="24"/>
              </w:rPr>
            </w:pPr>
            <w:r>
              <w:rPr>
                <w:rFonts w:cs="Arial"/>
                <w:color w:val="000000"/>
                <w:sz w:val="24"/>
                <w:szCs w:val="24"/>
              </w:rPr>
              <w:t>6.11</w:t>
            </w:r>
          </w:p>
        </w:tc>
      </w:tr>
      <w:tr w:rsidR="00025799" w:rsidRPr="00984792" w14:paraId="685E26E9" w14:textId="77777777" w:rsidTr="00025799">
        <w:trPr>
          <w:trHeight w:val="300"/>
        </w:trPr>
        <w:tc>
          <w:tcPr>
            <w:tcW w:w="992" w:type="dxa"/>
            <w:tcBorders>
              <w:top w:val="nil"/>
              <w:left w:val="nil"/>
              <w:bottom w:val="nil"/>
              <w:right w:val="nil"/>
            </w:tcBorders>
            <w:shd w:val="clear" w:color="auto" w:fill="auto"/>
            <w:noWrap/>
            <w:vAlign w:val="center"/>
            <w:hideMark/>
          </w:tcPr>
          <w:p w14:paraId="50F05199" w14:textId="77777777" w:rsidR="00025799" w:rsidRPr="00984792" w:rsidRDefault="00025799" w:rsidP="00984792">
            <w:pPr>
              <w:jc w:val="center"/>
              <w:rPr>
                <w:rFonts w:cs="Arial"/>
                <w:color w:val="000000"/>
                <w:sz w:val="24"/>
                <w:szCs w:val="24"/>
              </w:rPr>
            </w:pPr>
            <w:r w:rsidRPr="00984792">
              <w:rPr>
                <w:rFonts w:cs="Arial"/>
                <w:color w:val="000000"/>
                <w:sz w:val="24"/>
                <w:szCs w:val="24"/>
              </w:rPr>
              <w:t>F</w:t>
            </w:r>
          </w:p>
        </w:tc>
        <w:tc>
          <w:tcPr>
            <w:tcW w:w="1559" w:type="dxa"/>
            <w:tcBorders>
              <w:top w:val="nil"/>
              <w:left w:val="nil"/>
              <w:bottom w:val="nil"/>
              <w:right w:val="nil"/>
            </w:tcBorders>
            <w:shd w:val="clear" w:color="auto" w:fill="auto"/>
            <w:vAlign w:val="center"/>
            <w:hideMark/>
          </w:tcPr>
          <w:p w14:paraId="2E773BB1" w14:textId="77777777" w:rsidR="00025799" w:rsidRPr="00984792" w:rsidRDefault="00025799" w:rsidP="00CC55FE">
            <w:pPr>
              <w:jc w:val="center"/>
              <w:rPr>
                <w:rFonts w:cs="Arial"/>
                <w:color w:val="000000"/>
                <w:sz w:val="24"/>
                <w:szCs w:val="24"/>
              </w:rPr>
            </w:pPr>
            <w:r w:rsidRPr="00984792">
              <w:rPr>
                <w:rFonts w:cs="Arial"/>
                <w:color w:val="000000"/>
                <w:sz w:val="24"/>
                <w:szCs w:val="24"/>
              </w:rPr>
              <w:t>454</w:t>
            </w:r>
          </w:p>
        </w:tc>
        <w:tc>
          <w:tcPr>
            <w:tcW w:w="1418" w:type="dxa"/>
            <w:tcBorders>
              <w:top w:val="nil"/>
              <w:left w:val="nil"/>
              <w:bottom w:val="nil"/>
              <w:right w:val="nil"/>
            </w:tcBorders>
            <w:shd w:val="clear" w:color="auto" w:fill="auto"/>
            <w:noWrap/>
            <w:vAlign w:val="center"/>
            <w:hideMark/>
          </w:tcPr>
          <w:p w14:paraId="2F39B85D" w14:textId="77777777" w:rsidR="00025799" w:rsidRPr="00984792" w:rsidRDefault="00025799" w:rsidP="00D56060">
            <w:pPr>
              <w:jc w:val="center"/>
              <w:rPr>
                <w:rFonts w:cs="Arial"/>
                <w:color w:val="000000"/>
                <w:sz w:val="24"/>
                <w:szCs w:val="24"/>
              </w:rPr>
            </w:pPr>
            <w:r w:rsidRPr="00984792">
              <w:rPr>
                <w:rFonts w:cs="Arial"/>
                <w:color w:val="000000"/>
                <w:sz w:val="24"/>
                <w:szCs w:val="24"/>
              </w:rPr>
              <w:t>274.04</w:t>
            </w:r>
          </w:p>
        </w:tc>
        <w:tc>
          <w:tcPr>
            <w:tcW w:w="1559" w:type="dxa"/>
            <w:tcBorders>
              <w:top w:val="nil"/>
              <w:left w:val="nil"/>
              <w:bottom w:val="nil"/>
              <w:right w:val="nil"/>
            </w:tcBorders>
            <w:shd w:val="clear" w:color="auto" w:fill="auto"/>
            <w:vAlign w:val="center"/>
            <w:hideMark/>
          </w:tcPr>
          <w:p w14:paraId="54629110" w14:textId="77777777" w:rsidR="00025799" w:rsidRPr="00984792" w:rsidRDefault="00025799" w:rsidP="00D56060">
            <w:pPr>
              <w:jc w:val="center"/>
              <w:rPr>
                <w:rFonts w:cs="Arial"/>
                <w:color w:val="000000"/>
                <w:sz w:val="24"/>
                <w:szCs w:val="24"/>
              </w:rPr>
            </w:pPr>
            <w:r w:rsidRPr="00984792">
              <w:rPr>
                <w:rFonts w:cs="Arial"/>
                <w:color w:val="000000"/>
                <w:sz w:val="24"/>
                <w:szCs w:val="24"/>
              </w:rPr>
              <w:t>281.26</w:t>
            </w:r>
          </w:p>
        </w:tc>
        <w:tc>
          <w:tcPr>
            <w:tcW w:w="1134" w:type="dxa"/>
            <w:tcBorders>
              <w:top w:val="nil"/>
              <w:left w:val="nil"/>
              <w:bottom w:val="nil"/>
              <w:right w:val="nil"/>
            </w:tcBorders>
            <w:shd w:val="clear" w:color="auto" w:fill="auto"/>
            <w:vAlign w:val="center"/>
          </w:tcPr>
          <w:p w14:paraId="64640560" w14:textId="30836767" w:rsidR="00025799" w:rsidRPr="00984792" w:rsidRDefault="00025799" w:rsidP="00D56060">
            <w:pPr>
              <w:jc w:val="center"/>
              <w:rPr>
                <w:rFonts w:cs="Arial"/>
                <w:color w:val="000000"/>
                <w:sz w:val="24"/>
                <w:szCs w:val="24"/>
              </w:rPr>
            </w:pPr>
            <w:r>
              <w:rPr>
                <w:rFonts w:cs="Arial"/>
                <w:color w:val="000000"/>
                <w:sz w:val="24"/>
                <w:szCs w:val="24"/>
              </w:rPr>
              <w:t>7.22</w:t>
            </w:r>
          </w:p>
        </w:tc>
      </w:tr>
      <w:tr w:rsidR="00025799" w:rsidRPr="00984792" w14:paraId="20850E00" w14:textId="77777777" w:rsidTr="00025799">
        <w:trPr>
          <w:trHeight w:val="300"/>
        </w:trPr>
        <w:tc>
          <w:tcPr>
            <w:tcW w:w="992" w:type="dxa"/>
            <w:tcBorders>
              <w:top w:val="nil"/>
              <w:left w:val="nil"/>
              <w:bottom w:val="nil"/>
              <w:right w:val="nil"/>
            </w:tcBorders>
            <w:shd w:val="clear" w:color="auto" w:fill="auto"/>
            <w:noWrap/>
            <w:vAlign w:val="center"/>
            <w:hideMark/>
          </w:tcPr>
          <w:p w14:paraId="7F07B5D9" w14:textId="77777777" w:rsidR="00025799" w:rsidRPr="00984792" w:rsidRDefault="00025799" w:rsidP="00984792">
            <w:pPr>
              <w:jc w:val="center"/>
              <w:rPr>
                <w:rFonts w:cs="Arial"/>
                <w:color w:val="000000"/>
                <w:sz w:val="24"/>
                <w:szCs w:val="24"/>
              </w:rPr>
            </w:pPr>
            <w:r w:rsidRPr="00984792">
              <w:rPr>
                <w:rFonts w:cs="Arial"/>
                <w:color w:val="000000"/>
                <w:sz w:val="24"/>
                <w:szCs w:val="24"/>
              </w:rPr>
              <w:t>G</w:t>
            </w:r>
          </w:p>
        </w:tc>
        <w:tc>
          <w:tcPr>
            <w:tcW w:w="1559" w:type="dxa"/>
            <w:tcBorders>
              <w:top w:val="nil"/>
              <w:left w:val="nil"/>
              <w:bottom w:val="nil"/>
              <w:right w:val="nil"/>
            </w:tcBorders>
            <w:shd w:val="clear" w:color="auto" w:fill="auto"/>
            <w:vAlign w:val="center"/>
            <w:hideMark/>
          </w:tcPr>
          <w:p w14:paraId="65D833AD" w14:textId="77777777" w:rsidR="00025799" w:rsidRPr="00984792" w:rsidRDefault="00025799" w:rsidP="00CC55FE">
            <w:pPr>
              <w:jc w:val="center"/>
              <w:rPr>
                <w:rFonts w:cs="Arial"/>
                <w:color w:val="000000"/>
                <w:sz w:val="24"/>
                <w:szCs w:val="24"/>
              </w:rPr>
            </w:pPr>
            <w:r w:rsidRPr="00984792">
              <w:rPr>
                <w:rFonts w:cs="Arial"/>
                <w:color w:val="000000"/>
                <w:sz w:val="24"/>
                <w:szCs w:val="24"/>
              </w:rPr>
              <w:t>191</w:t>
            </w:r>
          </w:p>
        </w:tc>
        <w:tc>
          <w:tcPr>
            <w:tcW w:w="1418" w:type="dxa"/>
            <w:tcBorders>
              <w:top w:val="nil"/>
              <w:left w:val="nil"/>
              <w:bottom w:val="nil"/>
              <w:right w:val="nil"/>
            </w:tcBorders>
            <w:shd w:val="clear" w:color="auto" w:fill="auto"/>
            <w:noWrap/>
            <w:vAlign w:val="center"/>
            <w:hideMark/>
          </w:tcPr>
          <w:p w14:paraId="324358C7" w14:textId="77777777" w:rsidR="00025799" w:rsidRPr="00984792" w:rsidRDefault="00025799" w:rsidP="00D56060">
            <w:pPr>
              <w:jc w:val="center"/>
              <w:rPr>
                <w:rFonts w:cs="Arial"/>
                <w:color w:val="000000"/>
                <w:sz w:val="24"/>
                <w:szCs w:val="24"/>
              </w:rPr>
            </w:pPr>
            <w:r w:rsidRPr="00984792">
              <w:rPr>
                <w:rFonts w:cs="Arial"/>
                <w:color w:val="000000"/>
                <w:sz w:val="24"/>
                <w:szCs w:val="24"/>
              </w:rPr>
              <w:t>316.2</w:t>
            </w:r>
          </w:p>
        </w:tc>
        <w:tc>
          <w:tcPr>
            <w:tcW w:w="1559" w:type="dxa"/>
            <w:tcBorders>
              <w:top w:val="nil"/>
              <w:left w:val="nil"/>
              <w:bottom w:val="nil"/>
              <w:right w:val="nil"/>
            </w:tcBorders>
            <w:shd w:val="clear" w:color="auto" w:fill="auto"/>
            <w:vAlign w:val="center"/>
            <w:hideMark/>
          </w:tcPr>
          <w:p w14:paraId="5CB19778" w14:textId="77777777" w:rsidR="00025799" w:rsidRPr="00984792" w:rsidRDefault="00025799" w:rsidP="00D56060">
            <w:pPr>
              <w:jc w:val="center"/>
              <w:rPr>
                <w:rFonts w:cs="Arial"/>
                <w:color w:val="000000"/>
                <w:sz w:val="24"/>
                <w:szCs w:val="24"/>
              </w:rPr>
            </w:pPr>
            <w:r w:rsidRPr="00984792">
              <w:rPr>
                <w:rFonts w:cs="Arial"/>
                <w:color w:val="000000"/>
                <w:sz w:val="24"/>
                <w:szCs w:val="24"/>
              </w:rPr>
              <w:t>324.53</w:t>
            </w:r>
          </w:p>
        </w:tc>
        <w:tc>
          <w:tcPr>
            <w:tcW w:w="1134" w:type="dxa"/>
            <w:tcBorders>
              <w:top w:val="nil"/>
              <w:left w:val="nil"/>
              <w:bottom w:val="nil"/>
              <w:right w:val="nil"/>
            </w:tcBorders>
            <w:shd w:val="clear" w:color="auto" w:fill="auto"/>
            <w:vAlign w:val="center"/>
          </w:tcPr>
          <w:p w14:paraId="240CB3E2" w14:textId="4E2C11AA" w:rsidR="00025799" w:rsidRPr="00984792" w:rsidRDefault="00025799" w:rsidP="00D56060">
            <w:pPr>
              <w:jc w:val="center"/>
              <w:rPr>
                <w:rFonts w:cs="Arial"/>
                <w:color w:val="000000"/>
                <w:sz w:val="24"/>
                <w:szCs w:val="24"/>
              </w:rPr>
            </w:pPr>
            <w:r>
              <w:rPr>
                <w:rFonts w:cs="Arial"/>
                <w:color w:val="000000"/>
                <w:sz w:val="24"/>
                <w:szCs w:val="24"/>
              </w:rPr>
              <w:t>8.33</w:t>
            </w:r>
          </w:p>
        </w:tc>
      </w:tr>
      <w:tr w:rsidR="00025799" w:rsidRPr="00984792" w14:paraId="619620BE" w14:textId="77777777" w:rsidTr="00025799">
        <w:trPr>
          <w:trHeight w:val="312"/>
        </w:trPr>
        <w:tc>
          <w:tcPr>
            <w:tcW w:w="992" w:type="dxa"/>
            <w:tcBorders>
              <w:top w:val="nil"/>
              <w:left w:val="nil"/>
              <w:bottom w:val="nil"/>
              <w:right w:val="nil"/>
            </w:tcBorders>
            <w:shd w:val="clear" w:color="auto" w:fill="auto"/>
            <w:noWrap/>
            <w:vAlign w:val="center"/>
            <w:hideMark/>
          </w:tcPr>
          <w:p w14:paraId="2B76CF19" w14:textId="77777777" w:rsidR="00025799" w:rsidRPr="00984792" w:rsidRDefault="00025799" w:rsidP="00984792">
            <w:pPr>
              <w:jc w:val="center"/>
              <w:rPr>
                <w:rFonts w:cs="Arial"/>
                <w:color w:val="000000"/>
                <w:sz w:val="24"/>
                <w:szCs w:val="24"/>
              </w:rPr>
            </w:pPr>
            <w:r w:rsidRPr="00984792">
              <w:rPr>
                <w:rFonts w:cs="Arial"/>
                <w:color w:val="000000"/>
                <w:sz w:val="24"/>
                <w:szCs w:val="24"/>
              </w:rPr>
              <w:t>H</w:t>
            </w:r>
          </w:p>
        </w:tc>
        <w:tc>
          <w:tcPr>
            <w:tcW w:w="1559" w:type="dxa"/>
            <w:tcBorders>
              <w:top w:val="nil"/>
              <w:left w:val="nil"/>
              <w:bottom w:val="single" w:sz="8" w:space="0" w:color="auto"/>
              <w:right w:val="nil"/>
            </w:tcBorders>
            <w:shd w:val="clear" w:color="auto" w:fill="auto"/>
            <w:vAlign w:val="center"/>
            <w:hideMark/>
          </w:tcPr>
          <w:p w14:paraId="07F3B54C" w14:textId="77777777" w:rsidR="00025799" w:rsidRPr="00984792" w:rsidRDefault="00025799" w:rsidP="00CC55FE">
            <w:pPr>
              <w:jc w:val="center"/>
              <w:rPr>
                <w:rFonts w:cs="Arial"/>
                <w:color w:val="000000"/>
                <w:sz w:val="24"/>
                <w:szCs w:val="24"/>
              </w:rPr>
            </w:pPr>
            <w:r w:rsidRPr="00984792">
              <w:rPr>
                <w:rFonts w:cs="Arial"/>
                <w:color w:val="000000"/>
                <w:sz w:val="24"/>
                <w:szCs w:val="24"/>
              </w:rPr>
              <w:t>26</w:t>
            </w:r>
          </w:p>
        </w:tc>
        <w:tc>
          <w:tcPr>
            <w:tcW w:w="1418" w:type="dxa"/>
            <w:tcBorders>
              <w:top w:val="nil"/>
              <w:left w:val="nil"/>
              <w:bottom w:val="nil"/>
              <w:right w:val="nil"/>
            </w:tcBorders>
            <w:shd w:val="clear" w:color="auto" w:fill="auto"/>
            <w:noWrap/>
            <w:vAlign w:val="center"/>
            <w:hideMark/>
          </w:tcPr>
          <w:p w14:paraId="2B7ED577" w14:textId="77777777" w:rsidR="00025799" w:rsidRPr="00984792" w:rsidRDefault="00025799" w:rsidP="00D56060">
            <w:pPr>
              <w:jc w:val="center"/>
              <w:rPr>
                <w:rFonts w:cs="Arial"/>
                <w:color w:val="000000"/>
                <w:sz w:val="24"/>
                <w:szCs w:val="24"/>
              </w:rPr>
            </w:pPr>
            <w:r w:rsidRPr="00984792">
              <w:rPr>
                <w:rFonts w:cs="Arial"/>
                <w:color w:val="000000"/>
                <w:sz w:val="24"/>
                <w:szCs w:val="24"/>
              </w:rPr>
              <w:t>379.44</w:t>
            </w:r>
          </w:p>
        </w:tc>
        <w:tc>
          <w:tcPr>
            <w:tcW w:w="1559" w:type="dxa"/>
            <w:tcBorders>
              <w:top w:val="nil"/>
              <w:left w:val="nil"/>
              <w:bottom w:val="nil"/>
              <w:right w:val="nil"/>
            </w:tcBorders>
            <w:shd w:val="clear" w:color="auto" w:fill="auto"/>
            <w:vAlign w:val="center"/>
            <w:hideMark/>
          </w:tcPr>
          <w:p w14:paraId="3BCFFA31" w14:textId="77777777" w:rsidR="00025799" w:rsidRPr="00984792" w:rsidRDefault="00025799" w:rsidP="00D56060">
            <w:pPr>
              <w:jc w:val="center"/>
              <w:rPr>
                <w:rFonts w:cs="Arial"/>
                <w:color w:val="000000"/>
                <w:sz w:val="24"/>
                <w:szCs w:val="24"/>
              </w:rPr>
            </w:pPr>
            <w:r w:rsidRPr="00984792">
              <w:rPr>
                <w:rFonts w:cs="Arial"/>
                <w:color w:val="000000"/>
                <w:sz w:val="24"/>
                <w:szCs w:val="24"/>
              </w:rPr>
              <w:t>389.44</w:t>
            </w:r>
          </w:p>
        </w:tc>
        <w:tc>
          <w:tcPr>
            <w:tcW w:w="1134" w:type="dxa"/>
            <w:tcBorders>
              <w:top w:val="nil"/>
              <w:left w:val="nil"/>
              <w:bottom w:val="nil"/>
              <w:right w:val="nil"/>
            </w:tcBorders>
            <w:shd w:val="clear" w:color="auto" w:fill="auto"/>
            <w:vAlign w:val="center"/>
          </w:tcPr>
          <w:p w14:paraId="34BDF9FA" w14:textId="09059538" w:rsidR="00025799" w:rsidRPr="00984792" w:rsidRDefault="00025799" w:rsidP="00D56060">
            <w:pPr>
              <w:jc w:val="center"/>
              <w:rPr>
                <w:rFonts w:cs="Arial"/>
                <w:color w:val="000000"/>
                <w:sz w:val="24"/>
                <w:szCs w:val="24"/>
              </w:rPr>
            </w:pPr>
            <w:r>
              <w:rPr>
                <w:rFonts w:cs="Arial"/>
                <w:color w:val="000000"/>
                <w:sz w:val="24"/>
                <w:szCs w:val="24"/>
              </w:rPr>
              <w:t>10.00</w:t>
            </w:r>
          </w:p>
        </w:tc>
      </w:tr>
      <w:tr w:rsidR="00025799" w:rsidRPr="00984792" w14:paraId="19A5C2A2" w14:textId="77777777" w:rsidTr="00025799">
        <w:trPr>
          <w:trHeight w:val="312"/>
        </w:trPr>
        <w:tc>
          <w:tcPr>
            <w:tcW w:w="992" w:type="dxa"/>
            <w:tcBorders>
              <w:top w:val="nil"/>
              <w:left w:val="nil"/>
              <w:bottom w:val="nil"/>
              <w:right w:val="nil"/>
            </w:tcBorders>
            <w:shd w:val="clear" w:color="auto" w:fill="auto"/>
            <w:noWrap/>
            <w:vAlign w:val="center"/>
            <w:hideMark/>
          </w:tcPr>
          <w:p w14:paraId="577303A5" w14:textId="77777777" w:rsidR="00025799" w:rsidRPr="00984792" w:rsidRDefault="00025799" w:rsidP="00984792">
            <w:pPr>
              <w:jc w:val="center"/>
              <w:rPr>
                <w:rFonts w:cs="Arial"/>
                <w:color w:val="000000"/>
                <w:sz w:val="24"/>
                <w:szCs w:val="24"/>
              </w:rPr>
            </w:pPr>
            <w:r w:rsidRPr="00984792">
              <w:rPr>
                <w:rFonts w:cs="Arial"/>
                <w:color w:val="000000"/>
                <w:sz w:val="24"/>
                <w:szCs w:val="24"/>
              </w:rPr>
              <w:t>Total</w:t>
            </w:r>
          </w:p>
        </w:tc>
        <w:tc>
          <w:tcPr>
            <w:tcW w:w="1559" w:type="dxa"/>
            <w:tcBorders>
              <w:top w:val="nil"/>
              <w:left w:val="nil"/>
              <w:bottom w:val="nil"/>
              <w:right w:val="nil"/>
            </w:tcBorders>
            <w:shd w:val="clear" w:color="auto" w:fill="auto"/>
            <w:vAlign w:val="center"/>
            <w:hideMark/>
          </w:tcPr>
          <w:p w14:paraId="725FBCFC" w14:textId="4EC569AF" w:rsidR="00025799" w:rsidRPr="00984792" w:rsidRDefault="00025799" w:rsidP="00CC55FE">
            <w:pPr>
              <w:jc w:val="center"/>
              <w:rPr>
                <w:rFonts w:cs="Arial"/>
                <w:color w:val="000000"/>
                <w:sz w:val="24"/>
                <w:szCs w:val="24"/>
              </w:rPr>
            </w:pPr>
            <w:r>
              <w:rPr>
                <w:rFonts w:cs="Arial"/>
                <w:color w:val="000000"/>
                <w:sz w:val="24"/>
                <w:szCs w:val="24"/>
              </w:rPr>
              <w:t>50,032</w:t>
            </w:r>
          </w:p>
        </w:tc>
        <w:tc>
          <w:tcPr>
            <w:tcW w:w="1418" w:type="dxa"/>
            <w:tcBorders>
              <w:top w:val="nil"/>
              <w:left w:val="nil"/>
              <w:bottom w:val="nil"/>
              <w:right w:val="nil"/>
            </w:tcBorders>
            <w:shd w:val="clear" w:color="auto" w:fill="auto"/>
            <w:noWrap/>
            <w:vAlign w:val="center"/>
            <w:hideMark/>
          </w:tcPr>
          <w:p w14:paraId="5DE20CE7" w14:textId="77777777" w:rsidR="00025799" w:rsidRPr="00984792" w:rsidRDefault="00025799" w:rsidP="00A171FA">
            <w:pPr>
              <w:jc w:val="right"/>
              <w:rPr>
                <w:rFonts w:cs="Arial"/>
                <w:color w:val="000000"/>
                <w:sz w:val="24"/>
                <w:szCs w:val="24"/>
              </w:rPr>
            </w:pPr>
          </w:p>
        </w:tc>
        <w:tc>
          <w:tcPr>
            <w:tcW w:w="1559" w:type="dxa"/>
            <w:tcBorders>
              <w:top w:val="nil"/>
              <w:left w:val="nil"/>
              <w:bottom w:val="nil"/>
              <w:right w:val="nil"/>
            </w:tcBorders>
            <w:shd w:val="clear" w:color="auto" w:fill="auto"/>
            <w:vAlign w:val="center"/>
            <w:hideMark/>
          </w:tcPr>
          <w:p w14:paraId="4415CF69" w14:textId="77777777" w:rsidR="00025799" w:rsidRPr="00984792" w:rsidRDefault="00025799" w:rsidP="00A171FA">
            <w:pPr>
              <w:jc w:val="right"/>
              <w:rPr>
                <w:rFonts w:ascii="Times New Roman" w:hAnsi="Times New Roman"/>
                <w:sz w:val="20"/>
                <w:szCs w:val="20"/>
              </w:rPr>
            </w:pPr>
          </w:p>
        </w:tc>
        <w:tc>
          <w:tcPr>
            <w:tcW w:w="1134" w:type="dxa"/>
            <w:tcBorders>
              <w:top w:val="nil"/>
              <w:left w:val="nil"/>
              <w:bottom w:val="nil"/>
              <w:right w:val="nil"/>
            </w:tcBorders>
            <w:shd w:val="clear" w:color="auto" w:fill="auto"/>
            <w:vAlign w:val="center"/>
            <w:hideMark/>
          </w:tcPr>
          <w:p w14:paraId="13C2D2A7" w14:textId="77777777" w:rsidR="00025799" w:rsidRPr="00984792" w:rsidRDefault="00025799" w:rsidP="00A171FA">
            <w:pPr>
              <w:jc w:val="right"/>
              <w:rPr>
                <w:rFonts w:ascii="Times New Roman" w:hAnsi="Times New Roman"/>
                <w:sz w:val="20"/>
                <w:szCs w:val="20"/>
              </w:rPr>
            </w:pPr>
          </w:p>
        </w:tc>
      </w:tr>
      <w:tr w:rsidR="00025799" w:rsidRPr="00984792" w14:paraId="41D69129" w14:textId="77777777" w:rsidTr="00025799">
        <w:trPr>
          <w:trHeight w:val="300"/>
        </w:trPr>
        <w:tc>
          <w:tcPr>
            <w:tcW w:w="3969" w:type="dxa"/>
            <w:gridSpan w:val="3"/>
            <w:tcBorders>
              <w:top w:val="single" w:sz="8" w:space="0" w:color="auto"/>
              <w:left w:val="nil"/>
              <w:bottom w:val="nil"/>
              <w:right w:val="nil"/>
            </w:tcBorders>
            <w:shd w:val="clear" w:color="auto" w:fill="auto"/>
            <w:noWrap/>
            <w:vAlign w:val="center"/>
            <w:hideMark/>
          </w:tcPr>
          <w:p w14:paraId="072872AF" w14:textId="77777777" w:rsidR="00025799" w:rsidRPr="00984792" w:rsidRDefault="00025799" w:rsidP="00984792">
            <w:pPr>
              <w:jc w:val="left"/>
              <w:rPr>
                <w:rFonts w:cs="Arial"/>
                <w:color w:val="000000"/>
                <w:sz w:val="24"/>
                <w:szCs w:val="24"/>
              </w:rPr>
            </w:pPr>
            <w:r w:rsidRPr="00984792">
              <w:rPr>
                <w:rFonts w:cs="Arial"/>
                <w:color w:val="000000"/>
                <w:sz w:val="24"/>
                <w:szCs w:val="24"/>
              </w:rPr>
              <w:t>Additional income generated</w:t>
            </w:r>
          </w:p>
        </w:tc>
        <w:tc>
          <w:tcPr>
            <w:tcW w:w="1559" w:type="dxa"/>
            <w:vMerge w:val="restart"/>
            <w:tcBorders>
              <w:top w:val="single" w:sz="8" w:space="0" w:color="auto"/>
              <w:left w:val="nil"/>
              <w:bottom w:val="single" w:sz="8" w:space="0" w:color="000000"/>
              <w:right w:val="nil"/>
            </w:tcBorders>
            <w:shd w:val="clear" w:color="auto" w:fill="auto"/>
            <w:vAlign w:val="center"/>
            <w:hideMark/>
          </w:tcPr>
          <w:p w14:paraId="35C44F09" w14:textId="2AD30AC3" w:rsidR="00025799" w:rsidRPr="00984792" w:rsidRDefault="00025799" w:rsidP="00D56060">
            <w:pPr>
              <w:jc w:val="center"/>
              <w:rPr>
                <w:rFonts w:cs="Arial"/>
                <w:color w:val="000000"/>
                <w:sz w:val="24"/>
                <w:szCs w:val="24"/>
              </w:rPr>
            </w:pPr>
            <w:r>
              <w:rPr>
                <w:rFonts w:cs="Arial"/>
                <w:color w:val="000000"/>
                <w:sz w:val="24"/>
                <w:szCs w:val="24"/>
              </w:rPr>
              <w:t>167</w:t>
            </w:r>
          </w:p>
        </w:tc>
        <w:tc>
          <w:tcPr>
            <w:tcW w:w="1134" w:type="dxa"/>
            <w:vMerge w:val="restart"/>
            <w:tcBorders>
              <w:top w:val="single" w:sz="8" w:space="0" w:color="auto"/>
              <w:left w:val="nil"/>
              <w:bottom w:val="single" w:sz="8" w:space="0" w:color="000000"/>
              <w:right w:val="nil"/>
            </w:tcBorders>
            <w:shd w:val="clear" w:color="auto" w:fill="auto"/>
            <w:vAlign w:val="center"/>
            <w:hideMark/>
          </w:tcPr>
          <w:p w14:paraId="4718CD3B" w14:textId="28CDD72A" w:rsidR="00025799" w:rsidRPr="00984792" w:rsidRDefault="00025799" w:rsidP="00D56060">
            <w:pPr>
              <w:jc w:val="center"/>
              <w:rPr>
                <w:rFonts w:cs="Arial"/>
                <w:color w:val="000000"/>
                <w:sz w:val="24"/>
                <w:szCs w:val="24"/>
              </w:rPr>
            </w:pPr>
          </w:p>
        </w:tc>
      </w:tr>
      <w:tr w:rsidR="00025799" w:rsidRPr="00984792" w14:paraId="610E2282" w14:textId="77777777" w:rsidTr="00025799">
        <w:trPr>
          <w:trHeight w:val="312"/>
        </w:trPr>
        <w:tc>
          <w:tcPr>
            <w:tcW w:w="992" w:type="dxa"/>
            <w:tcBorders>
              <w:top w:val="nil"/>
              <w:left w:val="nil"/>
              <w:bottom w:val="single" w:sz="8" w:space="0" w:color="auto"/>
              <w:right w:val="nil"/>
            </w:tcBorders>
            <w:shd w:val="clear" w:color="auto" w:fill="auto"/>
            <w:noWrap/>
            <w:vAlign w:val="center"/>
            <w:hideMark/>
          </w:tcPr>
          <w:p w14:paraId="5F8B96D4" w14:textId="77777777" w:rsidR="00025799" w:rsidRPr="00984792" w:rsidRDefault="00025799" w:rsidP="00984792">
            <w:pPr>
              <w:jc w:val="left"/>
              <w:rPr>
                <w:rFonts w:cs="Arial"/>
                <w:color w:val="000000"/>
                <w:sz w:val="24"/>
                <w:szCs w:val="24"/>
              </w:rPr>
            </w:pPr>
            <w:r w:rsidRPr="00984792">
              <w:rPr>
                <w:rFonts w:cs="Arial"/>
                <w:color w:val="000000"/>
                <w:sz w:val="24"/>
                <w:szCs w:val="24"/>
              </w:rPr>
              <w:t>£000</w:t>
            </w:r>
          </w:p>
        </w:tc>
        <w:tc>
          <w:tcPr>
            <w:tcW w:w="1559" w:type="dxa"/>
            <w:tcBorders>
              <w:top w:val="nil"/>
              <w:left w:val="nil"/>
              <w:bottom w:val="single" w:sz="8" w:space="0" w:color="auto"/>
              <w:right w:val="nil"/>
            </w:tcBorders>
            <w:shd w:val="clear" w:color="auto" w:fill="auto"/>
            <w:vAlign w:val="center"/>
            <w:hideMark/>
          </w:tcPr>
          <w:p w14:paraId="0926210E" w14:textId="77777777" w:rsidR="00025799" w:rsidRPr="00984792" w:rsidRDefault="00025799" w:rsidP="00984792">
            <w:pPr>
              <w:jc w:val="left"/>
              <w:rPr>
                <w:rFonts w:cs="Arial"/>
                <w:color w:val="000000"/>
                <w:sz w:val="24"/>
                <w:szCs w:val="24"/>
              </w:rPr>
            </w:pPr>
            <w:r w:rsidRPr="00984792">
              <w:rPr>
                <w:rFonts w:cs="Arial"/>
                <w:color w:val="000000"/>
                <w:sz w:val="24"/>
                <w:szCs w:val="24"/>
              </w:rPr>
              <w:t> </w:t>
            </w:r>
          </w:p>
        </w:tc>
        <w:tc>
          <w:tcPr>
            <w:tcW w:w="1418" w:type="dxa"/>
            <w:tcBorders>
              <w:top w:val="nil"/>
              <w:left w:val="nil"/>
              <w:bottom w:val="single" w:sz="8" w:space="0" w:color="auto"/>
              <w:right w:val="nil"/>
            </w:tcBorders>
            <w:shd w:val="clear" w:color="auto" w:fill="auto"/>
            <w:noWrap/>
            <w:vAlign w:val="center"/>
            <w:hideMark/>
          </w:tcPr>
          <w:p w14:paraId="16CEC7FE" w14:textId="77777777" w:rsidR="00025799" w:rsidRPr="00984792" w:rsidRDefault="00025799" w:rsidP="00984792">
            <w:pPr>
              <w:jc w:val="left"/>
              <w:rPr>
                <w:rFonts w:cs="Arial"/>
                <w:color w:val="000000"/>
                <w:sz w:val="24"/>
                <w:szCs w:val="24"/>
              </w:rPr>
            </w:pPr>
            <w:r w:rsidRPr="00984792">
              <w:rPr>
                <w:rFonts w:cs="Arial"/>
                <w:color w:val="000000"/>
                <w:sz w:val="24"/>
                <w:szCs w:val="24"/>
              </w:rPr>
              <w:t> </w:t>
            </w:r>
          </w:p>
        </w:tc>
        <w:tc>
          <w:tcPr>
            <w:tcW w:w="1559" w:type="dxa"/>
            <w:vMerge/>
            <w:tcBorders>
              <w:top w:val="single" w:sz="8" w:space="0" w:color="auto"/>
              <w:left w:val="nil"/>
              <w:bottom w:val="single" w:sz="8" w:space="0" w:color="000000"/>
              <w:right w:val="nil"/>
            </w:tcBorders>
            <w:vAlign w:val="center"/>
            <w:hideMark/>
          </w:tcPr>
          <w:p w14:paraId="15DB0DB4" w14:textId="77777777" w:rsidR="00025799" w:rsidRPr="00984792" w:rsidRDefault="00025799" w:rsidP="00984792">
            <w:pPr>
              <w:jc w:val="left"/>
              <w:rPr>
                <w:rFonts w:cs="Arial"/>
                <w:color w:val="000000"/>
                <w:sz w:val="24"/>
                <w:szCs w:val="24"/>
              </w:rPr>
            </w:pPr>
          </w:p>
        </w:tc>
        <w:tc>
          <w:tcPr>
            <w:tcW w:w="1134" w:type="dxa"/>
            <w:vMerge/>
            <w:tcBorders>
              <w:top w:val="single" w:sz="8" w:space="0" w:color="auto"/>
              <w:left w:val="nil"/>
              <w:bottom w:val="single" w:sz="8" w:space="0" w:color="000000"/>
              <w:right w:val="nil"/>
            </w:tcBorders>
            <w:vAlign w:val="center"/>
            <w:hideMark/>
          </w:tcPr>
          <w:p w14:paraId="0FA96F3C" w14:textId="77777777" w:rsidR="00025799" w:rsidRPr="00984792" w:rsidRDefault="00025799" w:rsidP="00984792">
            <w:pPr>
              <w:jc w:val="left"/>
              <w:rPr>
                <w:rFonts w:cs="Arial"/>
                <w:color w:val="000000"/>
                <w:sz w:val="24"/>
                <w:szCs w:val="24"/>
              </w:rPr>
            </w:pPr>
          </w:p>
        </w:tc>
      </w:tr>
    </w:tbl>
    <w:p w14:paraId="0821F6A4" w14:textId="76440C3C" w:rsidR="00713124" w:rsidRDefault="00713124" w:rsidP="00984792">
      <w:pPr>
        <w:ind w:left="720" w:hanging="720"/>
        <w:jc w:val="left"/>
        <w:rPr>
          <w:sz w:val="24"/>
          <w:szCs w:val="24"/>
        </w:rPr>
      </w:pPr>
    </w:p>
    <w:p w14:paraId="7D1BB665" w14:textId="77777777" w:rsidR="00713124" w:rsidRDefault="00713124" w:rsidP="00054514">
      <w:pPr>
        <w:ind w:left="720" w:hanging="720"/>
        <w:jc w:val="left"/>
        <w:rPr>
          <w:sz w:val="24"/>
          <w:szCs w:val="24"/>
        </w:rPr>
      </w:pPr>
    </w:p>
    <w:p w14:paraId="74B08E0F" w14:textId="4009A6B1" w:rsidR="00054514" w:rsidRDefault="00054514" w:rsidP="00054514">
      <w:pPr>
        <w:ind w:left="851"/>
        <w:jc w:val="left"/>
        <w:rPr>
          <w:sz w:val="24"/>
          <w:szCs w:val="24"/>
        </w:rPr>
      </w:pPr>
      <w:r>
        <w:rPr>
          <w:sz w:val="24"/>
          <w:szCs w:val="24"/>
        </w:rPr>
        <w:t xml:space="preserve">(*) </w:t>
      </w:r>
      <w:r w:rsidR="003A1546">
        <w:rPr>
          <w:sz w:val="24"/>
          <w:szCs w:val="24"/>
        </w:rPr>
        <w:t>A £5.00 increase on a Band D property, equates to a 2.7% increase on all bands.</w:t>
      </w:r>
    </w:p>
    <w:p w14:paraId="3446C851" w14:textId="77777777" w:rsidR="00054514" w:rsidRDefault="00054514" w:rsidP="00054514">
      <w:pPr>
        <w:ind w:left="851" w:hanging="851"/>
        <w:jc w:val="left"/>
        <w:rPr>
          <w:sz w:val="24"/>
          <w:szCs w:val="24"/>
        </w:rPr>
      </w:pPr>
    </w:p>
    <w:p w14:paraId="12801835" w14:textId="1A052D35" w:rsidR="00355F7D" w:rsidRDefault="00054514" w:rsidP="00F70706">
      <w:pPr>
        <w:ind w:left="851" w:hanging="851"/>
        <w:jc w:val="left"/>
        <w:rPr>
          <w:sz w:val="24"/>
          <w:szCs w:val="24"/>
        </w:rPr>
      </w:pPr>
      <w:r>
        <w:rPr>
          <w:sz w:val="24"/>
          <w:szCs w:val="24"/>
        </w:rPr>
        <w:t>3.4.</w:t>
      </w:r>
      <w:r w:rsidR="0027437C">
        <w:rPr>
          <w:sz w:val="24"/>
          <w:szCs w:val="24"/>
        </w:rPr>
        <w:t>6</w:t>
      </w:r>
      <w:r>
        <w:rPr>
          <w:sz w:val="24"/>
          <w:szCs w:val="24"/>
        </w:rPr>
        <w:t>.</w:t>
      </w:r>
      <w:r w:rsidR="00EC5120">
        <w:rPr>
          <w:sz w:val="24"/>
          <w:szCs w:val="24"/>
        </w:rPr>
        <w:t>7</w:t>
      </w:r>
      <w:r>
        <w:rPr>
          <w:sz w:val="24"/>
          <w:szCs w:val="24"/>
        </w:rPr>
        <w:tab/>
      </w:r>
      <w:r w:rsidR="003A1546" w:rsidRPr="007505A0">
        <w:rPr>
          <w:sz w:val="24"/>
          <w:szCs w:val="24"/>
        </w:rPr>
        <w:t xml:space="preserve">The Council’s budget </w:t>
      </w:r>
      <w:r w:rsidR="003A1546">
        <w:rPr>
          <w:sz w:val="24"/>
          <w:szCs w:val="24"/>
        </w:rPr>
        <w:t>takes into account the additional £167,000 income raised through increasing its Council Tax, in order to achieve a balanced budget.</w:t>
      </w:r>
    </w:p>
    <w:p w14:paraId="628C5AC2" w14:textId="17719237" w:rsidR="00F70706" w:rsidRDefault="00F70706" w:rsidP="00F15A8D">
      <w:pPr>
        <w:jc w:val="left"/>
        <w:rPr>
          <w:sz w:val="24"/>
          <w:szCs w:val="24"/>
        </w:rPr>
      </w:pPr>
    </w:p>
    <w:p w14:paraId="7B030771" w14:textId="77777777" w:rsidR="00F15A8D" w:rsidRDefault="00F15A8D" w:rsidP="00F15A8D">
      <w:pPr>
        <w:jc w:val="left"/>
        <w:rPr>
          <w:sz w:val="24"/>
          <w:szCs w:val="24"/>
        </w:rPr>
      </w:pPr>
    </w:p>
    <w:p w14:paraId="4698BEB1" w14:textId="13709BB8" w:rsidR="00F70706" w:rsidRPr="00D02A30" w:rsidRDefault="0027437C" w:rsidP="00F70706">
      <w:pPr>
        <w:ind w:left="851" w:hanging="851"/>
        <w:jc w:val="left"/>
        <w:rPr>
          <w:b/>
          <w:sz w:val="24"/>
          <w:szCs w:val="24"/>
        </w:rPr>
      </w:pPr>
      <w:r>
        <w:rPr>
          <w:b/>
          <w:sz w:val="24"/>
          <w:szCs w:val="24"/>
        </w:rPr>
        <w:t>3.4.7</w:t>
      </w:r>
      <w:r w:rsidR="00F70706" w:rsidRPr="00D02A30">
        <w:rPr>
          <w:b/>
          <w:sz w:val="24"/>
          <w:szCs w:val="24"/>
        </w:rPr>
        <w:tab/>
        <w:t>Collection Fund Surpluses and Deficits</w:t>
      </w:r>
    </w:p>
    <w:p w14:paraId="52C17A8E" w14:textId="63876CC1" w:rsidR="00F70706" w:rsidRDefault="00F70706" w:rsidP="00F70706">
      <w:pPr>
        <w:ind w:left="851" w:hanging="851"/>
        <w:jc w:val="left"/>
        <w:rPr>
          <w:sz w:val="24"/>
          <w:szCs w:val="24"/>
        </w:rPr>
      </w:pPr>
    </w:p>
    <w:p w14:paraId="09E6B91C" w14:textId="617E5B3A" w:rsidR="00F70706" w:rsidRDefault="0027437C" w:rsidP="00F70706">
      <w:pPr>
        <w:ind w:left="851" w:hanging="851"/>
        <w:jc w:val="left"/>
        <w:rPr>
          <w:sz w:val="24"/>
          <w:szCs w:val="24"/>
        </w:rPr>
      </w:pPr>
      <w:r>
        <w:rPr>
          <w:sz w:val="24"/>
          <w:szCs w:val="24"/>
        </w:rPr>
        <w:t>3.4.7</w:t>
      </w:r>
      <w:r w:rsidR="00F70706">
        <w:rPr>
          <w:sz w:val="24"/>
          <w:szCs w:val="24"/>
        </w:rPr>
        <w:t>.1</w:t>
      </w:r>
      <w:r w:rsidR="00F70706">
        <w:rPr>
          <w:sz w:val="24"/>
          <w:szCs w:val="24"/>
        </w:rPr>
        <w:tab/>
        <w:t>Central government have indicated that surpluses and deficits for Council Tax and Business Rates can be spread over the next three years, as they predict that deficit on these income streams will be greater than initially anticipated, and this will lessen the impact on the 2021/22 budget.</w:t>
      </w:r>
    </w:p>
    <w:p w14:paraId="1F571B5C" w14:textId="77777777" w:rsidR="00F70706" w:rsidRDefault="00F70706" w:rsidP="00F70706">
      <w:pPr>
        <w:ind w:left="851" w:hanging="851"/>
        <w:jc w:val="left"/>
        <w:rPr>
          <w:sz w:val="24"/>
          <w:szCs w:val="24"/>
        </w:rPr>
      </w:pPr>
    </w:p>
    <w:p w14:paraId="56E52CFE" w14:textId="0E9AD982" w:rsidR="00F70706" w:rsidRDefault="0027437C" w:rsidP="00F70706">
      <w:pPr>
        <w:ind w:left="851" w:hanging="851"/>
        <w:jc w:val="left"/>
        <w:rPr>
          <w:sz w:val="24"/>
          <w:szCs w:val="24"/>
        </w:rPr>
      </w:pPr>
      <w:r>
        <w:rPr>
          <w:sz w:val="24"/>
          <w:szCs w:val="24"/>
        </w:rPr>
        <w:t>3.4.7</w:t>
      </w:r>
      <w:r w:rsidR="00F70706">
        <w:rPr>
          <w:sz w:val="24"/>
          <w:szCs w:val="24"/>
        </w:rPr>
        <w:t>.2</w:t>
      </w:r>
      <w:r w:rsidR="00F70706">
        <w:rPr>
          <w:sz w:val="24"/>
          <w:szCs w:val="24"/>
        </w:rPr>
        <w:tab/>
        <w:t xml:space="preserve">Traditionally, the process of sharing surpluses or deficits on the Collection Fund takes place over two years. </w:t>
      </w:r>
      <w:r w:rsidR="00F70706" w:rsidRPr="00F70706">
        <w:rPr>
          <w:sz w:val="24"/>
          <w:szCs w:val="24"/>
        </w:rPr>
        <w:t>As a result of Covid-19, there is likely to be a larger-than-normal deficit on the 2020-21 Collection Fund.</w:t>
      </w:r>
      <w:r w:rsidR="0072286E">
        <w:rPr>
          <w:sz w:val="24"/>
          <w:szCs w:val="24"/>
        </w:rPr>
        <w:t xml:space="preserve"> </w:t>
      </w:r>
    </w:p>
    <w:p w14:paraId="240D5B55" w14:textId="2F759CCE" w:rsidR="0072286E" w:rsidRDefault="0072286E" w:rsidP="00F70706">
      <w:pPr>
        <w:ind w:left="851" w:hanging="851"/>
        <w:jc w:val="left"/>
        <w:rPr>
          <w:sz w:val="24"/>
          <w:szCs w:val="24"/>
        </w:rPr>
      </w:pPr>
    </w:p>
    <w:p w14:paraId="4E0D44E8" w14:textId="4A516A9A" w:rsidR="0072286E" w:rsidRPr="00656AD3" w:rsidRDefault="0027437C" w:rsidP="00F70706">
      <w:pPr>
        <w:ind w:left="851" w:hanging="851"/>
        <w:jc w:val="left"/>
        <w:rPr>
          <w:sz w:val="24"/>
          <w:szCs w:val="24"/>
        </w:rPr>
      </w:pPr>
      <w:r>
        <w:rPr>
          <w:sz w:val="24"/>
          <w:szCs w:val="24"/>
        </w:rPr>
        <w:t>3.4.7</w:t>
      </w:r>
      <w:r w:rsidR="0072286E">
        <w:rPr>
          <w:sz w:val="24"/>
          <w:szCs w:val="24"/>
        </w:rPr>
        <w:t>.3</w:t>
      </w:r>
      <w:r w:rsidR="0072286E">
        <w:rPr>
          <w:sz w:val="24"/>
          <w:szCs w:val="24"/>
        </w:rPr>
        <w:tab/>
        <w:t xml:space="preserve">To mitigate against this deficit, Central Government have proposed amending regulations so that authorities </w:t>
      </w:r>
      <w:r w:rsidR="0072286E" w:rsidRPr="0072286E">
        <w:rPr>
          <w:sz w:val="24"/>
          <w:szCs w:val="24"/>
        </w:rPr>
        <w:t>credit two-thirds of their estimated loss of council tax and non-</w:t>
      </w:r>
      <w:r w:rsidR="0072286E" w:rsidRPr="0072286E">
        <w:rPr>
          <w:sz w:val="24"/>
          <w:szCs w:val="24"/>
        </w:rPr>
        <w:lastRenderedPageBreak/>
        <w:t>dome</w:t>
      </w:r>
      <w:r w:rsidR="0072286E">
        <w:rPr>
          <w:sz w:val="24"/>
          <w:szCs w:val="24"/>
        </w:rPr>
        <w:t>stic rating income in 2020/</w:t>
      </w:r>
      <w:r w:rsidR="0072286E" w:rsidRPr="0072286E">
        <w:rPr>
          <w:sz w:val="24"/>
          <w:szCs w:val="24"/>
        </w:rPr>
        <w:t>21 in the calculation of the estimated surplus/deficit they make prior to 2021</w:t>
      </w:r>
      <w:r w:rsidR="0072286E">
        <w:rPr>
          <w:sz w:val="24"/>
          <w:szCs w:val="24"/>
        </w:rPr>
        <w:t>/</w:t>
      </w:r>
      <w:r w:rsidR="0072286E" w:rsidRPr="0072286E">
        <w:rPr>
          <w:sz w:val="24"/>
          <w:szCs w:val="24"/>
        </w:rPr>
        <w:t>22.</w:t>
      </w:r>
      <w:r w:rsidR="0072286E">
        <w:rPr>
          <w:sz w:val="24"/>
          <w:szCs w:val="24"/>
        </w:rPr>
        <w:t xml:space="preserve"> </w:t>
      </w:r>
      <w:r w:rsidR="0072286E" w:rsidRPr="0072286E">
        <w:rPr>
          <w:sz w:val="24"/>
          <w:szCs w:val="24"/>
        </w:rPr>
        <w:t>This will reduce the estimated deficit on the Collection Fund that is to be tak</w:t>
      </w:r>
      <w:r w:rsidR="00F15A8D">
        <w:rPr>
          <w:sz w:val="24"/>
          <w:szCs w:val="24"/>
        </w:rPr>
        <w:t>en into account in setting 2021/</w:t>
      </w:r>
      <w:r w:rsidR="0072286E" w:rsidRPr="0072286E">
        <w:rPr>
          <w:sz w:val="24"/>
          <w:szCs w:val="24"/>
        </w:rPr>
        <w:t>22 budgets by</w:t>
      </w:r>
      <w:r w:rsidR="00F15A8D">
        <w:rPr>
          <w:sz w:val="24"/>
          <w:szCs w:val="24"/>
        </w:rPr>
        <w:t xml:space="preserve"> two-thirds of the loss of 2020/</w:t>
      </w:r>
      <w:r w:rsidR="0072286E" w:rsidRPr="0072286E">
        <w:rPr>
          <w:sz w:val="24"/>
          <w:szCs w:val="24"/>
        </w:rPr>
        <w:t>21 income, leaving authorities to deal with only a third of that loss in that year’s budgets.</w:t>
      </w:r>
    </w:p>
    <w:p w14:paraId="572D5B9B" w14:textId="77777777" w:rsidR="00054514" w:rsidRDefault="00054514" w:rsidP="00054514">
      <w:pPr>
        <w:ind w:left="851" w:hanging="851"/>
        <w:jc w:val="left"/>
        <w:rPr>
          <w:sz w:val="24"/>
          <w:szCs w:val="24"/>
          <w:highlight w:val="yellow"/>
        </w:rPr>
      </w:pPr>
    </w:p>
    <w:p w14:paraId="0220258D" w14:textId="77777777" w:rsidR="00054514" w:rsidRPr="00656AD3" w:rsidRDefault="00054514" w:rsidP="00054514">
      <w:pPr>
        <w:ind w:left="720" w:hanging="720"/>
        <w:jc w:val="left"/>
        <w:rPr>
          <w:sz w:val="24"/>
          <w:szCs w:val="24"/>
        </w:rPr>
      </w:pPr>
    </w:p>
    <w:p w14:paraId="264D3657" w14:textId="07A83461" w:rsidR="00054514" w:rsidRPr="00656AD3" w:rsidRDefault="00054514" w:rsidP="00054514">
      <w:pPr>
        <w:ind w:left="851" w:hanging="851"/>
        <w:jc w:val="left"/>
        <w:outlineLvl w:val="0"/>
        <w:rPr>
          <w:b/>
          <w:sz w:val="24"/>
          <w:szCs w:val="24"/>
        </w:rPr>
      </w:pPr>
      <w:r w:rsidRPr="00656AD3">
        <w:rPr>
          <w:b/>
          <w:sz w:val="24"/>
          <w:szCs w:val="24"/>
        </w:rPr>
        <w:t>3.</w:t>
      </w:r>
      <w:r>
        <w:rPr>
          <w:b/>
          <w:sz w:val="24"/>
          <w:szCs w:val="24"/>
        </w:rPr>
        <w:t>4.</w:t>
      </w:r>
      <w:r w:rsidR="0027437C">
        <w:rPr>
          <w:b/>
          <w:sz w:val="24"/>
          <w:szCs w:val="24"/>
        </w:rPr>
        <w:t>8</w:t>
      </w:r>
      <w:r w:rsidRPr="00656AD3">
        <w:rPr>
          <w:b/>
          <w:sz w:val="24"/>
          <w:szCs w:val="24"/>
        </w:rPr>
        <w:tab/>
        <w:t>New Homes Bonus Grant</w:t>
      </w:r>
    </w:p>
    <w:p w14:paraId="7B2A7036" w14:textId="77777777" w:rsidR="00054514" w:rsidRPr="00656AD3" w:rsidRDefault="00054514" w:rsidP="00054514">
      <w:pPr>
        <w:ind w:left="720" w:hanging="851"/>
        <w:jc w:val="left"/>
        <w:rPr>
          <w:sz w:val="24"/>
          <w:szCs w:val="24"/>
        </w:rPr>
      </w:pPr>
    </w:p>
    <w:p w14:paraId="261FB8D6" w14:textId="4D2A76F4" w:rsidR="00054514" w:rsidRDefault="00054514" w:rsidP="00054514">
      <w:pPr>
        <w:ind w:left="851" w:hanging="851"/>
        <w:jc w:val="left"/>
        <w:rPr>
          <w:sz w:val="24"/>
          <w:szCs w:val="24"/>
        </w:rPr>
      </w:pPr>
      <w:r w:rsidRPr="00656AD3">
        <w:rPr>
          <w:sz w:val="24"/>
          <w:szCs w:val="24"/>
        </w:rPr>
        <w:t>3.</w:t>
      </w:r>
      <w:r>
        <w:rPr>
          <w:sz w:val="24"/>
          <w:szCs w:val="24"/>
        </w:rPr>
        <w:t>4.</w:t>
      </w:r>
      <w:r w:rsidR="0027437C">
        <w:rPr>
          <w:sz w:val="24"/>
          <w:szCs w:val="24"/>
        </w:rPr>
        <w:t>8</w:t>
      </w:r>
      <w:r>
        <w:rPr>
          <w:sz w:val="24"/>
          <w:szCs w:val="24"/>
        </w:rPr>
        <w:t>.1</w:t>
      </w:r>
      <w:r w:rsidRPr="00656AD3">
        <w:rPr>
          <w:sz w:val="24"/>
          <w:szCs w:val="24"/>
        </w:rPr>
        <w:tab/>
        <w:t xml:space="preserve">Under the New Homes Bonus Grant, councils are awarded un-ring fenced grant income from Central Government where the number of houses increase within their District, including both new builds and where homes are brought back into use.  </w:t>
      </w:r>
    </w:p>
    <w:p w14:paraId="2A02AEE7" w14:textId="77777777" w:rsidR="00054514" w:rsidRDefault="00054514" w:rsidP="00054514">
      <w:pPr>
        <w:ind w:left="851" w:hanging="851"/>
        <w:jc w:val="left"/>
        <w:rPr>
          <w:sz w:val="24"/>
          <w:szCs w:val="24"/>
        </w:rPr>
      </w:pPr>
    </w:p>
    <w:p w14:paraId="43FCA07F" w14:textId="6A84D047" w:rsidR="00054514" w:rsidRPr="00656AD3" w:rsidRDefault="00054514" w:rsidP="00054514">
      <w:pPr>
        <w:ind w:left="851" w:hanging="851"/>
        <w:jc w:val="left"/>
        <w:rPr>
          <w:rFonts w:cs="Arial"/>
          <w:sz w:val="24"/>
          <w:szCs w:val="24"/>
        </w:rPr>
      </w:pPr>
      <w:r>
        <w:rPr>
          <w:sz w:val="24"/>
          <w:szCs w:val="24"/>
        </w:rPr>
        <w:t>3.4.</w:t>
      </w:r>
      <w:r w:rsidR="0027437C">
        <w:rPr>
          <w:sz w:val="24"/>
          <w:szCs w:val="24"/>
        </w:rPr>
        <w:t>8</w:t>
      </w:r>
      <w:r>
        <w:rPr>
          <w:sz w:val="24"/>
          <w:szCs w:val="24"/>
        </w:rPr>
        <w:t>.2</w:t>
      </w:r>
      <w:r>
        <w:rPr>
          <w:sz w:val="24"/>
          <w:szCs w:val="24"/>
        </w:rPr>
        <w:tab/>
        <w:t>The New Homes Bonu</w:t>
      </w:r>
      <w:r w:rsidR="00F33CFE">
        <w:rPr>
          <w:sz w:val="24"/>
          <w:szCs w:val="24"/>
        </w:rPr>
        <w:t>s grant started from the 2011/</w:t>
      </w:r>
      <w:r>
        <w:rPr>
          <w:sz w:val="24"/>
          <w:szCs w:val="24"/>
        </w:rPr>
        <w:t>12 financial year, and the Council has used this to fund specific projects</w:t>
      </w:r>
      <w:r w:rsidR="00F05D8A">
        <w:rPr>
          <w:sz w:val="24"/>
          <w:szCs w:val="24"/>
        </w:rPr>
        <w:t xml:space="preserve">.  </w:t>
      </w:r>
      <w:r w:rsidR="00057226">
        <w:rPr>
          <w:sz w:val="24"/>
          <w:szCs w:val="24"/>
        </w:rPr>
        <w:t>A</w:t>
      </w:r>
      <w:r>
        <w:rPr>
          <w:sz w:val="24"/>
          <w:szCs w:val="24"/>
        </w:rPr>
        <w:t>s these have come to an end</w:t>
      </w:r>
      <w:r w:rsidR="00F05D8A">
        <w:rPr>
          <w:sz w:val="24"/>
          <w:szCs w:val="24"/>
        </w:rPr>
        <w:t xml:space="preserve"> </w:t>
      </w:r>
      <w:r w:rsidR="00057226">
        <w:rPr>
          <w:sz w:val="24"/>
          <w:szCs w:val="24"/>
        </w:rPr>
        <w:t>a</w:t>
      </w:r>
      <w:r>
        <w:rPr>
          <w:sz w:val="24"/>
          <w:szCs w:val="24"/>
        </w:rPr>
        <w:t>ny residual value has been used to assist in balancing the budget.</w:t>
      </w:r>
    </w:p>
    <w:p w14:paraId="4DA5F40A" w14:textId="77777777" w:rsidR="00054514" w:rsidRPr="00656AD3" w:rsidRDefault="00054514" w:rsidP="00054514">
      <w:pPr>
        <w:ind w:left="851" w:hanging="851"/>
        <w:jc w:val="left"/>
        <w:rPr>
          <w:sz w:val="24"/>
          <w:szCs w:val="24"/>
        </w:rPr>
      </w:pPr>
    </w:p>
    <w:p w14:paraId="728FFD8B" w14:textId="15A1001D" w:rsidR="00054514" w:rsidRDefault="00054514" w:rsidP="00054514">
      <w:pPr>
        <w:ind w:left="851" w:hanging="851"/>
        <w:jc w:val="left"/>
        <w:rPr>
          <w:sz w:val="24"/>
          <w:szCs w:val="24"/>
        </w:rPr>
      </w:pPr>
      <w:r w:rsidRPr="00C9273D">
        <w:rPr>
          <w:sz w:val="24"/>
          <w:szCs w:val="24"/>
        </w:rPr>
        <w:t>3.4.</w:t>
      </w:r>
      <w:r w:rsidR="0027437C">
        <w:rPr>
          <w:sz w:val="24"/>
          <w:szCs w:val="24"/>
        </w:rPr>
        <w:t>8</w:t>
      </w:r>
      <w:r w:rsidRPr="00C9273D">
        <w:rPr>
          <w:sz w:val="24"/>
          <w:szCs w:val="24"/>
        </w:rPr>
        <w:t>.</w:t>
      </w:r>
      <w:r w:rsidR="00215007" w:rsidRPr="00C9273D">
        <w:rPr>
          <w:sz w:val="24"/>
          <w:szCs w:val="24"/>
        </w:rPr>
        <w:t>3</w:t>
      </w:r>
      <w:r w:rsidRPr="00C9273D">
        <w:rPr>
          <w:sz w:val="24"/>
          <w:szCs w:val="24"/>
        </w:rPr>
        <w:tab/>
      </w:r>
      <w:r w:rsidR="00312244">
        <w:rPr>
          <w:sz w:val="24"/>
          <w:szCs w:val="24"/>
        </w:rPr>
        <w:t xml:space="preserve">The Provisional Local Government Settlement included allocations of </w:t>
      </w:r>
      <w:r w:rsidRPr="00C9273D">
        <w:rPr>
          <w:sz w:val="24"/>
          <w:szCs w:val="24"/>
        </w:rPr>
        <w:t>New Homes Bonus for the 202</w:t>
      </w:r>
      <w:r w:rsidR="006825E7" w:rsidRPr="00C9273D">
        <w:rPr>
          <w:sz w:val="24"/>
          <w:szCs w:val="24"/>
        </w:rPr>
        <w:t>1</w:t>
      </w:r>
      <w:r w:rsidRPr="00C9273D">
        <w:rPr>
          <w:sz w:val="24"/>
          <w:szCs w:val="24"/>
        </w:rPr>
        <w:t>/2</w:t>
      </w:r>
      <w:r w:rsidR="006825E7" w:rsidRPr="00C9273D">
        <w:rPr>
          <w:sz w:val="24"/>
          <w:szCs w:val="24"/>
        </w:rPr>
        <w:t>2</w:t>
      </w:r>
      <w:r w:rsidRPr="00C9273D">
        <w:rPr>
          <w:sz w:val="24"/>
          <w:szCs w:val="24"/>
        </w:rPr>
        <w:t xml:space="preserve"> financial year.  </w:t>
      </w:r>
      <w:r w:rsidR="00312244">
        <w:rPr>
          <w:sz w:val="24"/>
          <w:szCs w:val="24"/>
        </w:rPr>
        <w:t xml:space="preserve">These </w:t>
      </w:r>
      <w:r w:rsidR="00F52996" w:rsidRPr="00C9273D">
        <w:rPr>
          <w:sz w:val="24"/>
          <w:szCs w:val="24"/>
        </w:rPr>
        <w:t xml:space="preserve">payments </w:t>
      </w:r>
      <w:r w:rsidR="00312244">
        <w:rPr>
          <w:sz w:val="24"/>
          <w:szCs w:val="24"/>
        </w:rPr>
        <w:t>are</w:t>
      </w:r>
      <w:r w:rsidR="006825E7" w:rsidRPr="00C9273D">
        <w:rPr>
          <w:sz w:val="24"/>
          <w:szCs w:val="24"/>
        </w:rPr>
        <w:t xml:space="preserve"> in the same way that payments were made in 2020/21, with no legacy payments being made in subsequent years.</w:t>
      </w:r>
      <w:r w:rsidRPr="00C9273D">
        <w:rPr>
          <w:sz w:val="24"/>
          <w:szCs w:val="24"/>
        </w:rPr>
        <w:t xml:space="preserve"> </w:t>
      </w:r>
      <w:r w:rsidR="00110088" w:rsidRPr="00C9273D">
        <w:rPr>
          <w:sz w:val="24"/>
          <w:szCs w:val="24"/>
        </w:rPr>
        <w:t>Any New Homes Bonus received in 202</w:t>
      </w:r>
      <w:r w:rsidR="006825E7" w:rsidRPr="00C9273D">
        <w:rPr>
          <w:sz w:val="24"/>
          <w:szCs w:val="24"/>
        </w:rPr>
        <w:t>1</w:t>
      </w:r>
      <w:r w:rsidR="00110088" w:rsidRPr="00C9273D">
        <w:rPr>
          <w:sz w:val="24"/>
          <w:szCs w:val="24"/>
        </w:rPr>
        <w:t>/2</w:t>
      </w:r>
      <w:r w:rsidR="006825E7" w:rsidRPr="00C9273D">
        <w:rPr>
          <w:sz w:val="24"/>
          <w:szCs w:val="24"/>
        </w:rPr>
        <w:t>2</w:t>
      </w:r>
      <w:r w:rsidR="00F52996" w:rsidRPr="00C9273D">
        <w:rPr>
          <w:sz w:val="24"/>
          <w:szCs w:val="24"/>
        </w:rPr>
        <w:t xml:space="preserve"> </w:t>
      </w:r>
      <w:r w:rsidR="00312244">
        <w:rPr>
          <w:sz w:val="24"/>
          <w:szCs w:val="24"/>
        </w:rPr>
        <w:t xml:space="preserve">are therefore </w:t>
      </w:r>
      <w:r w:rsidR="00110088" w:rsidRPr="00C9273D">
        <w:rPr>
          <w:sz w:val="24"/>
          <w:szCs w:val="24"/>
        </w:rPr>
        <w:t>a one-off allocation.</w:t>
      </w:r>
    </w:p>
    <w:p w14:paraId="1DBA9955" w14:textId="1A990ECC" w:rsidR="00312244" w:rsidRDefault="00312244" w:rsidP="00054514">
      <w:pPr>
        <w:ind w:left="851" w:hanging="851"/>
        <w:jc w:val="left"/>
        <w:rPr>
          <w:sz w:val="24"/>
          <w:szCs w:val="24"/>
        </w:rPr>
      </w:pPr>
    </w:p>
    <w:p w14:paraId="7CD9756F" w14:textId="26038ED0" w:rsidR="00312244" w:rsidRDefault="00312244" w:rsidP="00054514">
      <w:pPr>
        <w:ind w:left="851" w:hanging="851"/>
        <w:jc w:val="left"/>
        <w:rPr>
          <w:sz w:val="24"/>
          <w:szCs w:val="24"/>
        </w:rPr>
      </w:pPr>
      <w:r>
        <w:rPr>
          <w:sz w:val="24"/>
          <w:szCs w:val="24"/>
        </w:rPr>
        <w:t>3.4.8.4</w:t>
      </w:r>
      <w:r>
        <w:rPr>
          <w:sz w:val="24"/>
          <w:szCs w:val="24"/>
        </w:rPr>
        <w:tab/>
        <w:t>The provisional finance settlement has awarded Mansfield District Council a total of £268,000 in New Homes Bonus for the 2021/22 financial year; the Council has used this grant in order to assist in balancing the budget and providing on-going services to its residents.  The Council has not made any assumptions regarding future New Homes Bonus.</w:t>
      </w:r>
    </w:p>
    <w:p w14:paraId="18FEBC81" w14:textId="77777777" w:rsidR="00054514" w:rsidRDefault="00054514" w:rsidP="00054514">
      <w:pPr>
        <w:ind w:hanging="851"/>
        <w:jc w:val="left"/>
        <w:rPr>
          <w:sz w:val="24"/>
          <w:szCs w:val="24"/>
        </w:rPr>
      </w:pPr>
    </w:p>
    <w:p w14:paraId="7F924FD7" w14:textId="77777777" w:rsidR="00054514" w:rsidRDefault="00054514" w:rsidP="00054514">
      <w:pPr>
        <w:ind w:hanging="851"/>
        <w:jc w:val="left"/>
        <w:rPr>
          <w:b/>
          <w:sz w:val="24"/>
          <w:szCs w:val="24"/>
        </w:rPr>
      </w:pPr>
    </w:p>
    <w:p w14:paraId="2B0DE70A" w14:textId="03015516" w:rsidR="00054514" w:rsidRDefault="00054514" w:rsidP="00054514">
      <w:pPr>
        <w:ind w:left="851" w:hanging="851"/>
        <w:jc w:val="left"/>
        <w:rPr>
          <w:b/>
          <w:sz w:val="24"/>
          <w:szCs w:val="24"/>
        </w:rPr>
      </w:pPr>
      <w:r>
        <w:rPr>
          <w:b/>
          <w:sz w:val="24"/>
          <w:szCs w:val="24"/>
        </w:rPr>
        <w:t>3.4.</w:t>
      </w:r>
      <w:r w:rsidR="0027437C">
        <w:rPr>
          <w:b/>
          <w:sz w:val="24"/>
          <w:szCs w:val="24"/>
        </w:rPr>
        <w:t>9</w:t>
      </w:r>
      <w:r>
        <w:rPr>
          <w:b/>
          <w:sz w:val="24"/>
          <w:szCs w:val="24"/>
        </w:rPr>
        <w:tab/>
      </w:r>
      <w:r w:rsidRPr="00F419E1">
        <w:rPr>
          <w:b/>
          <w:sz w:val="24"/>
          <w:szCs w:val="24"/>
        </w:rPr>
        <w:t>Fe</w:t>
      </w:r>
      <w:r>
        <w:rPr>
          <w:b/>
          <w:sz w:val="24"/>
          <w:szCs w:val="24"/>
        </w:rPr>
        <w:t>es and Charges</w:t>
      </w:r>
    </w:p>
    <w:p w14:paraId="4F652EE4" w14:textId="77777777" w:rsidR="00054514" w:rsidRDefault="00054514" w:rsidP="00054514">
      <w:pPr>
        <w:ind w:hanging="720"/>
        <w:jc w:val="left"/>
        <w:rPr>
          <w:b/>
          <w:sz w:val="24"/>
          <w:szCs w:val="24"/>
        </w:rPr>
      </w:pPr>
    </w:p>
    <w:p w14:paraId="77C4CCDF" w14:textId="0EDBC4BB" w:rsidR="00054514" w:rsidRDefault="00054514" w:rsidP="00054514">
      <w:pPr>
        <w:spacing w:before="120"/>
        <w:ind w:left="851" w:hanging="862"/>
        <w:jc w:val="left"/>
        <w:rPr>
          <w:rFonts w:cs="Arial"/>
          <w:sz w:val="24"/>
          <w:szCs w:val="24"/>
        </w:rPr>
      </w:pPr>
      <w:r>
        <w:rPr>
          <w:rFonts w:cs="Arial"/>
          <w:sz w:val="24"/>
          <w:szCs w:val="24"/>
        </w:rPr>
        <w:t>3.4.</w:t>
      </w:r>
      <w:r w:rsidR="0027437C">
        <w:rPr>
          <w:rFonts w:cs="Arial"/>
          <w:sz w:val="24"/>
          <w:szCs w:val="24"/>
        </w:rPr>
        <w:t>9</w:t>
      </w:r>
      <w:r w:rsidR="0017654C">
        <w:rPr>
          <w:rFonts w:cs="Arial"/>
          <w:sz w:val="24"/>
          <w:szCs w:val="24"/>
        </w:rPr>
        <w:t>.1</w:t>
      </w:r>
      <w:r w:rsidR="0027437C">
        <w:rPr>
          <w:rFonts w:cs="Arial"/>
          <w:sz w:val="24"/>
          <w:szCs w:val="24"/>
        </w:rPr>
        <w:tab/>
      </w:r>
      <w:r>
        <w:rPr>
          <w:rFonts w:cs="Arial"/>
          <w:sz w:val="24"/>
          <w:szCs w:val="24"/>
        </w:rPr>
        <w:t>Mansfield District Council is responsible for setting some of the fees and charges for services that it charges residents and customers (some fees and charges are set by statute, whilst others are set by other bodies such as Nottinghamshire County Council).  Each year, individual services are responsible for determining the level of increase proposed; the options for adjusting fees and charges comprise:</w:t>
      </w:r>
    </w:p>
    <w:p w14:paraId="53F4845E" w14:textId="77777777" w:rsidR="00054514" w:rsidRDefault="00054514" w:rsidP="00D53DE6">
      <w:pPr>
        <w:ind w:left="851" w:hanging="862"/>
        <w:jc w:val="left"/>
        <w:rPr>
          <w:rFonts w:cs="Arial"/>
          <w:sz w:val="24"/>
          <w:szCs w:val="24"/>
        </w:rPr>
      </w:pPr>
    </w:p>
    <w:p w14:paraId="6686DFA4" w14:textId="77777777" w:rsidR="00054514" w:rsidRDefault="00054514" w:rsidP="00054514">
      <w:pPr>
        <w:numPr>
          <w:ilvl w:val="0"/>
          <w:numId w:val="49"/>
        </w:numPr>
        <w:tabs>
          <w:tab w:val="clear" w:pos="720"/>
        </w:tabs>
        <w:ind w:left="1134" w:hanging="283"/>
        <w:jc w:val="left"/>
        <w:rPr>
          <w:rFonts w:cs="Arial"/>
          <w:sz w:val="24"/>
          <w:szCs w:val="24"/>
        </w:rPr>
      </w:pPr>
      <w:r w:rsidRPr="00CC5757">
        <w:rPr>
          <w:rFonts w:cs="Arial"/>
          <w:sz w:val="24"/>
          <w:szCs w:val="24"/>
        </w:rPr>
        <w:t>Increa</w:t>
      </w:r>
      <w:r>
        <w:rPr>
          <w:rFonts w:cs="Arial"/>
          <w:sz w:val="24"/>
          <w:szCs w:val="24"/>
        </w:rPr>
        <w:t>se to cover a general inflationary increase</w:t>
      </w:r>
    </w:p>
    <w:p w14:paraId="5F3E7A15" w14:textId="77777777" w:rsidR="00054514" w:rsidRPr="00CC5757" w:rsidRDefault="00054514" w:rsidP="00054514">
      <w:pPr>
        <w:numPr>
          <w:ilvl w:val="0"/>
          <w:numId w:val="49"/>
        </w:numPr>
        <w:tabs>
          <w:tab w:val="clear" w:pos="720"/>
        </w:tabs>
        <w:ind w:left="1134" w:hanging="283"/>
        <w:jc w:val="left"/>
        <w:rPr>
          <w:rFonts w:cs="Arial"/>
          <w:sz w:val="24"/>
          <w:szCs w:val="24"/>
        </w:rPr>
      </w:pPr>
      <w:r w:rsidRPr="00CC5757">
        <w:rPr>
          <w:rFonts w:cs="Arial"/>
          <w:sz w:val="24"/>
          <w:szCs w:val="24"/>
        </w:rPr>
        <w:t xml:space="preserve">Increase to cover </w:t>
      </w:r>
      <w:r>
        <w:rPr>
          <w:rFonts w:cs="Arial"/>
          <w:sz w:val="24"/>
          <w:szCs w:val="24"/>
        </w:rPr>
        <w:t>a general inflationary increase - rounded</w:t>
      </w:r>
    </w:p>
    <w:p w14:paraId="7ADE59DB" w14:textId="77777777" w:rsidR="00054514" w:rsidRDefault="00054514" w:rsidP="00054514">
      <w:pPr>
        <w:numPr>
          <w:ilvl w:val="0"/>
          <w:numId w:val="49"/>
        </w:numPr>
        <w:tabs>
          <w:tab w:val="clear" w:pos="720"/>
        </w:tabs>
        <w:ind w:left="1134" w:hanging="283"/>
        <w:jc w:val="left"/>
        <w:rPr>
          <w:rFonts w:cs="Arial"/>
          <w:sz w:val="24"/>
          <w:szCs w:val="24"/>
        </w:rPr>
      </w:pPr>
      <w:r>
        <w:rPr>
          <w:rFonts w:cs="Arial"/>
          <w:sz w:val="24"/>
          <w:szCs w:val="24"/>
        </w:rPr>
        <w:t>Increase to cover a specific inflationary increase</w:t>
      </w:r>
    </w:p>
    <w:p w14:paraId="3F2A2BC8" w14:textId="77777777" w:rsidR="00054514" w:rsidRDefault="00054514" w:rsidP="00054514">
      <w:pPr>
        <w:numPr>
          <w:ilvl w:val="0"/>
          <w:numId w:val="49"/>
        </w:numPr>
        <w:tabs>
          <w:tab w:val="clear" w:pos="720"/>
        </w:tabs>
        <w:ind w:left="1134" w:hanging="283"/>
        <w:jc w:val="left"/>
        <w:rPr>
          <w:rFonts w:cs="Arial"/>
          <w:sz w:val="24"/>
          <w:szCs w:val="24"/>
        </w:rPr>
      </w:pPr>
      <w:r>
        <w:rPr>
          <w:rFonts w:cs="Arial"/>
          <w:sz w:val="24"/>
          <w:szCs w:val="24"/>
        </w:rPr>
        <w:t>Increase or decrease to achieve the Council’s priorities</w:t>
      </w:r>
    </w:p>
    <w:p w14:paraId="4FDE6FFF" w14:textId="77777777" w:rsidR="00054514" w:rsidRDefault="00054514" w:rsidP="00054514">
      <w:pPr>
        <w:numPr>
          <w:ilvl w:val="0"/>
          <w:numId w:val="49"/>
        </w:numPr>
        <w:tabs>
          <w:tab w:val="clear" w:pos="720"/>
        </w:tabs>
        <w:ind w:left="1134" w:hanging="283"/>
        <w:jc w:val="left"/>
        <w:rPr>
          <w:rFonts w:cs="Arial"/>
          <w:sz w:val="24"/>
          <w:szCs w:val="24"/>
        </w:rPr>
      </w:pPr>
      <w:r>
        <w:rPr>
          <w:rFonts w:cs="Arial"/>
          <w:sz w:val="24"/>
          <w:szCs w:val="24"/>
        </w:rPr>
        <w:t>Change to reflect market conditions</w:t>
      </w:r>
    </w:p>
    <w:p w14:paraId="237B6966" w14:textId="77777777" w:rsidR="00054514" w:rsidRDefault="00054514" w:rsidP="00054514">
      <w:pPr>
        <w:numPr>
          <w:ilvl w:val="0"/>
          <w:numId w:val="49"/>
        </w:numPr>
        <w:tabs>
          <w:tab w:val="clear" w:pos="720"/>
        </w:tabs>
        <w:ind w:left="1134" w:hanging="283"/>
        <w:jc w:val="left"/>
        <w:rPr>
          <w:rFonts w:cs="Arial"/>
          <w:sz w:val="24"/>
          <w:szCs w:val="24"/>
        </w:rPr>
      </w:pPr>
      <w:r>
        <w:rPr>
          <w:rFonts w:cs="Arial"/>
          <w:sz w:val="24"/>
          <w:szCs w:val="24"/>
        </w:rPr>
        <w:t>Change to reflect actual cost of service</w:t>
      </w:r>
    </w:p>
    <w:p w14:paraId="508726C6" w14:textId="77777777" w:rsidR="00054514" w:rsidRDefault="00054514" w:rsidP="00054514">
      <w:pPr>
        <w:numPr>
          <w:ilvl w:val="0"/>
          <w:numId w:val="49"/>
        </w:numPr>
        <w:tabs>
          <w:tab w:val="clear" w:pos="720"/>
        </w:tabs>
        <w:ind w:left="1134" w:hanging="283"/>
        <w:jc w:val="left"/>
        <w:rPr>
          <w:rFonts w:cs="Arial"/>
          <w:sz w:val="24"/>
          <w:szCs w:val="24"/>
        </w:rPr>
      </w:pPr>
      <w:r>
        <w:rPr>
          <w:rFonts w:cs="Arial"/>
          <w:sz w:val="24"/>
          <w:szCs w:val="24"/>
        </w:rPr>
        <w:t>Change to generate additional income</w:t>
      </w:r>
    </w:p>
    <w:p w14:paraId="6BE76706" w14:textId="77777777" w:rsidR="00054514" w:rsidRDefault="00054514" w:rsidP="00054514">
      <w:pPr>
        <w:ind w:left="1134" w:hanging="283"/>
        <w:jc w:val="left"/>
        <w:rPr>
          <w:rFonts w:cs="Arial"/>
          <w:sz w:val="24"/>
          <w:szCs w:val="24"/>
        </w:rPr>
      </w:pPr>
    </w:p>
    <w:p w14:paraId="27683D01" w14:textId="7344E1CC" w:rsidR="00054514" w:rsidRPr="00E33107" w:rsidRDefault="00054514" w:rsidP="00054514">
      <w:pPr>
        <w:ind w:left="851" w:hanging="862"/>
        <w:jc w:val="left"/>
        <w:rPr>
          <w:rFonts w:cs="Arial"/>
          <w:sz w:val="24"/>
          <w:szCs w:val="24"/>
        </w:rPr>
      </w:pPr>
      <w:r>
        <w:rPr>
          <w:rFonts w:cs="Arial"/>
          <w:sz w:val="24"/>
          <w:szCs w:val="24"/>
        </w:rPr>
        <w:t>3.4.</w:t>
      </w:r>
      <w:r w:rsidR="0027437C">
        <w:rPr>
          <w:rFonts w:cs="Arial"/>
          <w:sz w:val="24"/>
          <w:szCs w:val="24"/>
        </w:rPr>
        <w:t>9</w:t>
      </w:r>
      <w:r w:rsidR="0017654C">
        <w:rPr>
          <w:rFonts w:cs="Arial"/>
          <w:sz w:val="24"/>
          <w:szCs w:val="24"/>
        </w:rPr>
        <w:t xml:space="preserve">.2 </w:t>
      </w:r>
      <w:r w:rsidR="0027437C">
        <w:rPr>
          <w:rFonts w:cs="Arial"/>
          <w:sz w:val="24"/>
          <w:szCs w:val="24"/>
        </w:rPr>
        <w:tab/>
      </w:r>
      <w:r>
        <w:rPr>
          <w:rFonts w:cs="Arial"/>
          <w:sz w:val="24"/>
          <w:szCs w:val="24"/>
        </w:rPr>
        <w:t>Where the Council is responsible for determining the level of fees chargeable,</w:t>
      </w:r>
      <w:r w:rsidRPr="00B36F51">
        <w:rPr>
          <w:rFonts w:cs="Arial"/>
          <w:sz w:val="24"/>
          <w:szCs w:val="24"/>
        </w:rPr>
        <w:t xml:space="preserve"> 2% inflation </w:t>
      </w:r>
      <w:r>
        <w:rPr>
          <w:rFonts w:cs="Arial"/>
          <w:sz w:val="24"/>
          <w:szCs w:val="24"/>
        </w:rPr>
        <w:t xml:space="preserve">has </w:t>
      </w:r>
      <w:r w:rsidRPr="00B36F51">
        <w:rPr>
          <w:rFonts w:cs="Arial"/>
          <w:sz w:val="24"/>
          <w:szCs w:val="24"/>
        </w:rPr>
        <w:t>be</w:t>
      </w:r>
      <w:r>
        <w:rPr>
          <w:rFonts w:cs="Arial"/>
          <w:sz w:val="24"/>
          <w:szCs w:val="24"/>
        </w:rPr>
        <w:t>en</w:t>
      </w:r>
      <w:r w:rsidRPr="00B36F51">
        <w:rPr>
          <w:rFonts w:cs="Arial"/>
          <w:sz w:val="24"/>
          <w:szCs w:val="24"/>
        </w:rPr>
        <w:t xml:space="preserve"> used as a basis for the s</w:t>
      </w:r>
      <w:r>
        <w:rPr>
          <w:rFonts w:cs="Arial"/>
          <w:sz w:val="24"/>
          <w:szCs w:val="24"/>
        </w:rPr>
        <w:t>etting fees and charges for 202</w:t>
      </w:r>
      <w:r w:rsidR="006825E7">
        <w:rPr>
          <w:rFonts w:cs="Arial"/>
          <w:sz w:val="24"/>
          <w:szCs w:val="24"/>
        </w:rPr>
        <w:t>1</w:t>
      </w:r>
      <w:r w:rsidRPr="00B36F51">
        <w:rPr>
          <w:rFonts w:cs="Arial"/>
          <w:sz w:val="24"/>
          <w:szCs w:val="24"/>
        </w:rPr>
        <w:t>/2</w:t>
      </w:r>
      <w:r w:rsidR="006825E7">
        <w:rPr>
          <w:rFonts w:cs="Arial"/>
          <w:sz w:val="24"/>
          <w:szCs w:val="24"/>
        </w:rPr>
        <w:t>2,</w:t>
      </w:r>
      <w:r>
        <w:rPr>
          <w:rFonts w:cs="Arial"/>
          <w:sz w:val="24"/>
          <w:szCs w:val="24"/>
        </w:rPr>
        <w:t xml:space="preserve"> which is in line with the Bank of England’s target for inflation over the medium term</w:t>
      </w:r>
      <w:r w:rsidRPr="00B36F51">
        <w:rPr>
          <w:rFonts w:cs="Arial"/>
          <w:sz w:val="24"/>
          <w:szCs w:val="24"/>
        </w:rPr>
        <w:t>.</w:t>
      </w:r>
      <w:r>
        <w:rPr>
          <w:rFonts w:cs="Arial"/>
          <w:sz w:val="24"/>
          <w:szCs w:val="24"/>
        </w:rPr>
        <w:t xml:space="preserve">  Where changes are made to fees which are set by statute (that is, the </w:t>
      </w:r>
      <w:r w:rsidRPr="00E33107">
        <w:rPr>
          <w:rFonts w:cs="Arial"/>
          <w:sz w:val="24"/>
          <w:szCs w:val="24"/>
        </w:rPr>
        <w:t>Council has no control over), the proposed fees will be revised accordingly. As part of the revenue budget proposals a review of all fees and charges income was undertaken.</w:t>
      </w:r>
    </w:p>
    <w:p w14:paraId="64F91186" w14:textId="77777777" w:rsidR="00054514" w:rsidRPr="00E33107" w:rsidRDefault="00054514" w:rsidP="00054514">
      <w:pPr>
        <w:ind w:left="851" w:hanging="862"/>
        <w:jc w:val="left"/>
        <w:rPr>
          <w:rFonts w:cs="Arial"/>
          <w:sz w:val="24"/>
          <w:szCs w:val="24"/>
        </w:rPr>
      </w:pPr>
    </w:p>
    <w:p w14:paraId="42222A6E" w14:textId="14FBBF51" w:rsidR="00054514" w:rsidRPr="00E33107" w:rsidRDefault="00054514" w:rsidP="00054514">
      <w:pPr>
        <w:ind w:left="851" w:hanging="862"/>
        <w:jc w:val="left"/>
        <w:rPr>
          <w:rFonts w:cs="Arial"/>
          <w:sz w:val="24"/>
          <w:szCs w:val="24"/>
        </w:rPr>
      </w:pPr>
      <w:r w:rsidRPr="00E33107">
        <w:rPr>
          <w:rFonts w:cs="Arial"/>
          <w:sz w:val="24"/>
          <w:szCs w:val="24"/>
        </w:rPr>
        <w:t>3.4.</w:t>
      </w:r>
      <w:r w:rsidR="0027437C">
        <w:rPr>
          <w:rFonts w:cs="Arial"/>
          <w:sz w:val="24"/>
          <w:szCs w:val="24"/>
        </w:rPr>
        <w:t>9</w:t>
      </w:r>
      <w:r w:rsidR="0017654C">
        <w:rPr>
          <w:rFonts w:cs="Arial"/>
          <w:sz w:val="24"/>
          <w:szCs w:val="24"/>
        </w:rPr>
        <w:t xml:space="preserve">.3 </w:t>
      </w:r>
      <w:r w:rsidR="0027437C">
        <w:rPr>
          <w:rFonts w:cs="Arial"/>
          <w:sz w:val="24"/>
          <w:szCs w:val="24"/>
        </w:rPr>
        <w:tab/>
      </w:r>
      <w:r w:rsidRPr="00E33107">
        <w:rPr>
          <w:rFonts w:cs="Arial"/>
          <w:sz w:val="24"/>
          <w:szCs w:val="24"/>
        </w:rPr>
        <w:t xml:space="preserve">Appendix </w:t>
      </w:r>
      <w:r w:rsidR="007432CC">
        <w:rPr>
          <w:rFonts w:cs="Arial"/>
          <w:sz w:val="24"/>
          <w:szCs w:val="24"/>
        </w:rPr>
        <w:t>9</w:t>
      </w:r>
      <w:r w:rsidRPr="00E33107">
        <w:rPr>
          <w:rFonts w:cs="Arial"/>
          <w:sz w:val="24"/>
          <w:szCs w:val="24"/>
        </w:rPr>
        <w:t xml:space="preserve"> sets out </w:t>
      </w:r>
      <w:r w:rsidR="00E53785">
        <w:rPr>
          <w:rFonts w:cs="Arial"/>
          <w:sz w:val="24"/>
          <w:szCs w:val="24"/>
        </w:rPr>
        <w:t xml:space="preserve">the proposed fees and charges, </w:t>
      </w:r>
      <w:r w:rsidRPr="00E33107">
        <w:rPr>
          <w:rFonts w:cs="Arial"/>
          <w:sz w:val="24"/>
          <w:szCs w:val="24"/>
        </w:rPr>
        <w:t>for the General Fund for the 202</w:t>
      </w:r>
      <w:r w:rsidR="00BD62BA">
        <w:rPr>
          <w:rFonts w:cs="Arial"/>
          <w:sz w:val="24"/>
          <w:szCs w:val="24"/>
        </w:rPr>
        <w:t>1</w:t>
      </w:r>
      <w:r w:rsidRPr="00E33107">
        <w:rPr>
          <w:rFonts w:cs="Arial"/>
          <w:sz w:val="24"/>
          <w:szCs w:val="24"/>
        </w:rPr>
        <w:t>/2</w:t>
      </w:r>
      <w:r w:rsidR="00BD62BA">
        <w:rPr>
          <w:rFonts w:cs="Arial"/>
          <w:sz w:val="24"/>
          <w:szCs w:val="24"/>
        </w:rPr>
        <w:t>2</w:t>
      </w:r>
      <w:r w:rsidRPr="00E33107">
        <w:rPr>
          <w:rFonts w:cs="Arial"/>
          <w:sz w:val="24"/>
          <w:szCs w:val="24"/>
        </w:rPr>
        <w:t xml:space="preserve"> financial year</w:t>
      </w:r>
      <w:r w:rsidR="00DE498A">
        <w:rPr>
          <w:rFonts w:cs="Arial"/>
          <w:sz w:val="24"/>
          <w:szCs w:val="24"/>
        </w:rPr>
        <w:t xml:space="preserve">. </w:t>
      </w:r>
      <w:r w:rsidRPr="00E33107">
        <w:rPr>
          <w:rFonts w:cs="Arial"/>
          <w:sz w:val="24"/>
          <w:szCs w:val="24"/>
        </w:rPr>
        <w:t>The fees and charges put forward have been used in calculating the proposed General Fund budgets, changes to this would result also in changes to those budgets.</w:t>
      </w:r>
    </w:p>
    <w:p w14:paraId="33C29541" w14:textId="77777777" w:rsidR="00054514" w:rsidRPr="00E33107" w:rsidRDefault="00054514" w:rsidP="00054514">
      <w:pPr>
        <w:ind w:left="851" w:hanging="862"/>
        <w:jc w:val="left"/>
        <w:rPr>
          <w:sz w:val="24"/>
          <w:szCs w:val="24"/>
        </w:rPr>
      </w:pPr>
    </w:p>
    <w:p w14:paraId="4AE4A98B" w14:textId="5FF8E2E5" w:rsidR="00054514" w:rsidRDefault="00054514" w:rsidP="00054514">
      <w:pPr>
        <w:ind w:left="851" w:hanging="862"/>
        <w:jc w:val="left"/>
        <w:rPr>
          <w:sz w:val="24"/>
          <w:szCs w:val="24"/>
        </w:rPr>
      </w:pPr>
      <w:r w:rsidRPr="00E33107">
        <w:rPr>
          <w:sz w:val="24"/>
          <w:szCs w:val="24"/>
        </w:rPr>
        <w:t>3.4.</w:t>
      </w:r>
      <w:r w:rsidR="0027437C">
        <w:rPr>
          <w:sz w:val="24"/>
          <w:szCs w:val="24"/>
        </w:rPr>
        <w:t>9</w:t>
      </w:r>
      <w:r w:rsidR="0017654C">
        <w:rPr>
          <w:sz w:val="24"/>
          <w:szCs w:val="24"/>
        </w:rPr>
        <w:t xml:space="preserve">.4 </w:t>
      </w:r>
      <w:r w:rsidR="0027437C">
        <w:rPr>
          <w:sz w:val="24"/>
          <w:szCs w:val="24"/>
        </w:rPr>
        <w:tab/>
      </w:r>
      <w:r w:rsidRPr="00E33107">
        <w:rPr>
          <w:sz w:val="24"/>
          <w:szCs w:val="24"/>
        </w:rPr>
        <w:t>The fees and charges are generally rounded to the nearest 10 pence, 50 pence or £1 for operational purposes</w:t>
      </w:r>
      <w:r w:rsidRPr="00361068">
        <w:rPr>
          <w:sz w:val="24"/>
          <w:szCs w:val="24"/>
        </w:rPr>
        <w:t>. This is particularly relevant where machinery</w:t>
      </w:r>
      <w:r>
        <w:rPr>
          <w:sz w:val="24"/>
          <w:szCs w:val="24"/>
        </w:rPr>
        <w:t>,</w:t>
      </w:r>
      <w:r w:rsidRPr="00361068">
        <w:rPr>
          <w:sz w:val="24"/>
          <w:szCs w:val="24"/>
        </w:rPr>
        <w:t xml:space="preserve"> such as car parks machines</w:t>
      </w:r>
      <w:r>
        <w:rPr>
          <w:sz w:val="24"/>
          <w:szCs w:val="24"/>
        </w:rPr>
        <w:t>,</w:t>
      </w:r>
      <w:r w:rsidRPr="00361068">
        <w:rPr>
          <w:sz w:val="24"/>
          <w:szCs w:val="24"/>
        </w:rPr>
        <w:t xml:space="preserve"> </w:t>
      </w:r>
      <w:r>
        <w:rPr>
          <w:sz w:val="24"/>
          <w:szCs w:val="24"/>
        </w:rPr>
        <w:t xml:space="preserve">is </w:t>
      </w:r>
      <w:r w:rsidRPr="00361068">
        <w:rPr>
          <w:sz w:val="24"/>
          <w:szCs w:val="24"/>
        </w:rPr>
        <w:t>set to receive coinage and where small denominations of coins are required to provide change to customer</w:t>
      </w:r>
      <w:r w:rsidRPr="00D64949">
        <w:rPr>
          <w:sz w:val="24"/>
          <w:szCs w:val="24"/>
        </w:rPr>
        <w:t>s.</w:t>
      </w:r>
    </w:p>
    <w:p w14:paraId="64091D83" w14:textId="045E2AC7" w:rsidR="00054514" w:rsidRDefault="00054514" w:rsidP="006825E7">
      <w:pPr>
        <w:jc w:val="left"/>
        <w:rPr>
          <w:rFonts w:cs="Arial"/>
          <w:sz w:val="24"/>
          <w:szCs w:val="24"/>
        </w:rPr>
      </w:pPr>
    </w:p>
    <w:p w14:paraId="4CBE26F8" w14:textId="164881C1" w:rsidR="00054514" w:rsidRDefault="00054514" w:rsidP="00054514">
      <w:pPr>
        <w:ind w:left="851" w:hanging="862"/>
        <w:jc w:val="left"/>
        <w:rPr>
          <w:sz w:val="24"/>
          <w:szCs w:val="24"/>
        </w:rPr>
      </w:pPr>
      <w:r w:rsidRPr="00A16911">
        <w:rPr>
          <w:rFonts w:cs="Arial"/>
          <w:sz w:val="24"/>
          <w:szCs w:val="24"/>
        </w:rPr>
        <w:t>3.4.</w:t>
      </w:r>
      <w:r w:rsidR="0027437C">
        <w:rPr>
          <w:rFonts w:cs="Arial"/>
          <w:sz w:val="24"/>
          <w:szCs w:val="24"/>
        </w:rPr>
        <w:t>9</w:t>
      </w:r>
      <w:r w:rsidR="006825E7" w:rsidRPr="00A16911">
        <w:rPr>
          <w:rFonts w:cs="Arial"/>
          <w:sz w:val="24"/>
          <w:szCs w:val="24"/>
        </w:rPr>
        <w:t>.5</w:t>
      </w:r>
      <w:r w:rsidR="0017654C">
        <w:rPr>
          <w:rFonts w:cs="Arial"/>
          <w:sz w:val="24"/>
          <w:szCs w:val="24"/>
        </w:rPr>
        <w:t xml:space="preserve"> </w:t>
      </w:r>
      <w:r w:rsidR="0027437C">
        <w:rPr>
          <w:rFonts w:cs="Arial"/>
          <w:sz w:val="24"/>
          <w:szCs w:val="24"/>
        </w:rPr>
        <w:tab/>
      </w:r>
      <w:r w:rsidRPr="00A16911">
        <w:rPr>
          <w:sz w:val="24"/>
          <w:szCs w:val="24"/>
        </w:rPr>
        <w:t>The amendments to the Hackney Carriage and Private Hire fees will be subject to a 28-day consultation process, an advert detailing the proposed fees in a local newspaper and the opportunity for the trade to make representations following Council approval.  If no representations are received the proposed fee structure will then be adopted. If, however, representations are received then a further decision will be required taking account of the representations as to whether the proposed fees should be amended.  This decision must be made within two months from the date of the end of the original representation period.</w:t>
      </w:r>
    </w:p>
    <w:p w14:paraId="7F3FCA02" w14:textId="4D359A79" w:rsidR="00967CFE" w:rsidRDefault="00967CFE" w:rsidP="00054514">
      <w:pPr>
        <w:ind w:left="851" w:hanging="862"/>
        <w:jc w:val="left"/>
        <w:rPr>
          <w:sz w:val="24"/>
          <w:szCs w:val="24"/>
        </w:rPr>
      </w:pPr>
    </w:p>
    <w:p w14:paraId="1C73F597" w14:textId="0EE6EC64" w:rsidR="00967CFE" w:rsidRDefault="00967CFE" w:rsidP="00054514">
      <w:pPr>
        <w:ind w:left="851" w:hanging="862"/>
        <w:jc w:val="left"/>
        <w:rPr>
          <w:sz w:val="24"/>
          <w:szCs w:val="24"/>
        </w:rPr>
      </w:pPr>
      <w:r>
        <w:rPr>
          <w:sz w:val="24"/>
          <w:szCs w:val="24"/>
        </w:rPr>
        <w:lastRenderedPageBreak/>
        <w:t>3.4.</w:t>
      </w:r>
      <w:r w:rsidR="0027437C">
        <w:rPr>
          <w:sz w:val="24"/>
          <w:szCs w:val="24"/>
        </w:rPr>
        <w:t>9</w:t>
      </w:r>
      <w:r w:rsidR="0017654C">
        <w:rPr>
          <w:sz w:val="24"/>
          <w:szCs w:val="24"/>
        </w:rPr>
        <w:t xml:space="preserve">.6 </w:t>
      </w:r>
      <w:r w:rsidR="0027437C">
        <w:rPr>
          <w:sz w:val="24"/>
          <w:szCs w:val="24"/>
        </w:rPr>
        <w:tab/>
      </w:r>
      <w:r w:rsidRPr="00967CFE">
        <w:rPr>
          <w:sz w:val="24"/>
          <w:szCs w:val="24"/>
        </w:rPr>
        <w:t xml:space="preserve">The Taxi and </w:t>
      </w:r>
      <w:proofErr w:type="gramStart"/>
      <w:r w:rsidRPr="00967CFE">
        <w:rPr>
          <w:sz w:val="24"/>
          <w:szCs w:val="24"/>
        </w:rPr>
        <w:t>Licensing</w:t>
      </w:r>
      <w:proofErr w:type="gramEnd"/>
      <w:r w:rsidRPr="00967CFE">
        <w:rPr>
          <w:sz w:val="24"/>
          <w:szCs w:val="24"/>
        </w:rPr>
        <w:t xml:space="preserve"> fees </w:t>
      </w:r>
      <w:r w:rsidR="00DD2038">
        <w:rPr>
          <w:sz w:val="24"/>
          <w:szCs w:val="24"/>
        </w:rPr>
        <w:t xml:space="preserve">for 2021/22 </w:t>
      </w:r>
      <w:r w:rsidRPr="00967CFE">
        <w:rPr>
          <w:sz w:val="24"/>
          <w:szCs w:val="24"/>
        </w:rPr>
        <w:t>were approved by the Licensing committee on the 8th October</w:t>
      </w:r>
      <w:r>
        <w:rPr>
          <w:sz w:val="24"/>
          <w:szCs w:val="24"/>
        </w:rPr>
        <w:t xml:space="preserve"> 2020</w:t>
      </w:r>
      <w:r w:rsidRPr="00967CFE">
        <w:rPr>
          <w:sz w:val="24"/>
          <w:szCs w:val="24"/>
        </w:rPr>
        <w:t>.</w:t>
      </w:r>
    </w:p>
    <w:p w14:paraId="086FAF3A" w14:textId="7B5EA0A4" w:rsidR="00054514" w:rsidRDefault="00054514" w:rsidP="00F33CFE">
      <w:pPr>
        <w:jc w:val="left"/>
        <w:rPr>
          <w:sz w:val="24"/>
          <w:szCs w:val="24"/>
        </w:rPr>
      </w:pPr>
    </w:p>
    <w:p w14:paraId="3FA2039C" w14:textId="77777777" w:rsidR="00054514" w:rsidRDefault="00054514" w:rsidP="00054514">
      <w:pPr>
        <w:ind w:left="851" w:hanging="862"/>
        <w:jc w:val="left"/>
        <w:rPr>
          <w:sz w:val="24"/>
          <w:szCs w:val="24"/>
        </w:rPr>
      </w:pPr>
    </w:p>
    <w:p w14:paraId="457152B6" w14:textId="3E79B6BA" w:rsidR="00054514" w:rsidRPr="00223FC8" w:rsidRDefault="00054514" w:rsidP="00054514">
      <w:pPr>
        <w:ind w:left="851" w:hanging="851"/>
        <w:jc w:val="left"/>
        <w:rPr>
          <w:b/>
          <w:sz w:val="24"/>
          <w:szCs w:val="24"/>
        </w:rPr>
      </w:pPr>
      <w:r>
        <w:rPr>
          <w:b/>
          <w:sz w:val="24"/>
          <w:szCs w:val="24"/>
        </w:rPr>
        <w:t>3.4.</w:t>
      </w:r>
      <w:r w:rsidR="00DF553C">
        <w:rPr>
          <w:b/>
          <w:sz w:val="24"/>
          <w:szCs w:val="24"/>
        </w:rPr>
        <w:t>1</w:t>
      </w:r>
      <w:r w:rsidR="0027437C">
        <w:rPr>
          <w:b/>
          <w:sz w:val="24"/>
          <w:szCs w:val="24"/>
        </w:rPr>
        <w:t>0</w:t>
      </w:r>
      <w:r w:rsidRPr="00223FC8">
        <w:rPr>
          <w:b/>
          <w:sz w:val="24"/>
          <w:szCs w:val="24"/>
        </w:rPr>
        <w:tab/>
        <w:t>Expenditure Budgets</w:t>
      </w:r>
    </w:p>
    <w:p w14:paraId="277EDE32" w14:textId="77777777" w:rsidR="00054514" w:rsidRDefault="00054514" w:rsidP="00054514">
      <w:pPr>
        <w:ind w:left="630" w:hanging="720"/>
        <w:jc w:val="left"/>
        <w:rPr>
          <w:sz w:val="24"/>
          <w:szCs w:val="24"/>
        </w:rPr>
      </w:pPr>
    </w:p>
    <w:p w14:paraId="491EE1FB" w14:textId="4D8E60C2" w:rsidR="00054514" w:rsidRDefault="00054514" w:rsidP="00054514">
      <w:pPr>
        <w:ind w:left="851" w:hanging="851"/>
        <w:jc w:val="left"/>
        <w:rPr>
          <w:sz w:val="24"/>
          <w:szCs w:val="24"/>
        </w:rPr>
      </w:pPr>
      <w:r>
        <w:rPr>
          <w:sz w:val="24"/>
          <w:szCs w:val="24"/>
        </w:rPr>
        <w:t>3.4.</w:t>
      </w:r>
      <w:r w:rsidR="0027437C">
        <w:rPr>
          <w:sz w:val="24"/>
          <w:szCs w:val="24"/>
        </w:rPr>
        <w:t>10</w:t>
      </w:r>
      <w:r>
        <w:rPr>
          <w:sz w:val="24"/>
          <w:szCs w:val="24"/>
        </w:rPr>
        <w:t>.1</w:t>
      </w:r>
      <w:r w:rsidR="00DF553C">
        <w:rPr>
          <w:sz w:val="24"/>
          <w:szCs w:val="24"/>
        </w:rPr>
        <w:t xml:space="preserve"> </w:t>
      </w:r>
      <w:r>
        <w:rPr>
          <w:sz w:val="24"/>
          <w:szCs w:val="24"/>
        </w:rPr>
        <w:t>In developing the financial projections, covering the Medium Term Financial Strategy from 202</w:t>
      </w:r>
      <w:r w:rsidR="00DE498A">
        <w:rPr>
          <w:sz w:val="24"/>
          <w:szCs w:val="24"/>
        </w:rPr>
        <w:t>1</w:t>
      </w:r>
      <w:r>
        <w:rPr>
          <w:sz w:val="24"/>
          <w:szCs w:val="24"/>
        </w:rPr>
        <w:t>/2</w:t>
      </w:r>
      <w:r w:rsidR="00DE498A">
        <w:rPr>
          <w:sz w:val="24"/>
          <w:szCs w:val="24"/>
        </w:rPr>
        <w:t>2</w:t>
      </w:r>
      <w:r>
        <w:rPr>
          <w:sz w:val="24"/>
          <w:szCs w:val="24"/>
        </w:rPr>
        <w:t xml:space="preserve"> to 202</w:t>
      </w:r>
      <w:r w:rsidR="00DE498A">
        <w:rPr>
          <w:sz w:val="24"/>
          <w:szCs w:val="24"/>
        </w:rPr>
        <w:t>3/24</w:t>
      </w:r>
      <w:r>
        <w:rPr>
          <w:sz w:val="24"/>
          <w:szCs w:val="24"/>
        </w:rPr>
        <w:t>, a number of assumptions have been made, including:</w:t>
      </w:r>
    </w:p>
    <w:p w14:paraId="40D02E67" w14:textId="77777777" w:rsidR="00054514" w:rsidRDefault="00054514" w:rsidP="00054514">
      <w:pPr>
        <w:ind w:left="851" w:hanging="851"/>
        <w:jc w:val="left"/>
        <w:rPr>
          <w:sz w:val="24"/>
          <w:szCs w:val="24"/>
        </w:rPr>
      </w:pPr>
    </w:p>
    <w:p w14:paraId="0D91058E" w14:textId="77777777" w:rsidR="00054514" w:rsidRPr="00656AD3" w:rsidRDefault="00054514" w:rsidP="00054514">
      <w:pPr>
        <w:pStyle w:val="ListParagraph"/>
        <w:numPr>
          <w:ilvl w:val="0"/>
          <w:numId w:val="48"/>
        </w:numPr>
        <w:spacing w:after="0"/>
        <w:ind w:left="1134" w:hanging="283"/>
        <w:rPr>
          <w:rFonts w:ascii="Arial" w:hAnsi="Arial" w:cs="Arial"/>
          <w:sz w:val="24"/>
          <w:szCs w:val="24"/>
        </w:rPr>
      </w:pPr>
      <w:r w:rsidRPr="00656AD3">
        <w:rPr>
          <w:rFonts w:ascii="Arial" w:hAnsi="Arial" w:cs="Arial"/>
          <w:sz w:val="24"/>
          <w:szCs w:val="24"/>
        </w:rPr>
        <w:t>Inflation, where applied, is at the Bank of England’s target for CPI which currently stands at 2% per annum</w:t>
      </w:r>
    </w:p>
    <w:p w14:paraId="0F8ECDCA" w14:textId="7B807D57" w:rsidR="00054514" w:rsidRPr="00656AD3" w:rsidRDefault="00CA7D3C" w:rsidP="00054514">
      <w:pPr>
        <w:pStyle w:val="ListParagraph"/>
        <w:numPr>
          <w:ilvl w:val="0"/>
          <w:numId w:val="48"/>
        </w:numPr>
        <w:spacing w:after="0"/>
        <w:ind w:left="1134" w:hanging="283"/>
        <w:rPr>
          <w:rFonts w:ascii="Arial" w:hAnsi="Arial" w:cs="Arial"/>
          <w:sz w:val="24"/>
          <w:szCs w:val="24"/>
        </w:rPr>
      </w:pPr>
      <w:r>
        <w:rPr>
          <w:rFonts w:ascii="Arial" w:hAnsi="Arial" w:cs="Arial"/>
          <w:sz w:val="24"/>
          <w:szCs w:val="24"/>
        </w:rPr>
        <w:t xml:space="preserve">It was announced as part of the Provisional Local Government Finance Settlement, that local government pay for 2021/22 would be frozen at 2020/21 levels. This has been reflected in the budget for 2021/22 and future years. </w:t>
      </w:r>
    </w:p>
    <w:p w14:paraId="74797082" w14:textId="77777777" w:rsidR="00054514" w:rsidRPr="00A16911" w:rsidRDefault="00054514" w:rsidP="00054514">
      <w:pPr>
        <w:pStyle w:val="ListParagraph"/>
        <w:numPr>
          <w:ilvl w:val="0"/>
          <w:numId w:val="48"/>
        </w:numPr>
        <w:spacing w:after="0"/>
        <w:ind w:left="1134" w:hanging="283"/>
        <w:rPr>
          <w:rFonts w:ascii="Arial" w:hAnsi="Arial" w:cs="Arial"/>
          <w:sz w:val="24"/>
          <w:szCs w:val="24"/>
        </w:rPr>
      </w:pPr>
      <w:r w:rsidRPr="00A16911">
        <w:rPr>
          <w:rFonts w:ascii="Arial" w:hAnsi="Arial" w:cs="Arial"/>
          <w:sz w:val="24"/>
          <w:szCs w:val="24"/>
        </w:rPr>
        <w:t>In 202</w:t>
      </w:r>
      <w:r w:rsidR="00DE498A" w:rsidRPr="00A16911">
        <w:rPr>
          <w:rFonts w:ascii="Arial" w:hAnsi="Arial" w:cs="Arial"/>
          <w:sz w:val="24"/>
          <w:szCs w:val="24"/>
        </w:rPr>
        <w:t>3</w:t>
      </w:r>
      <w:r w:rsidRPr="00A16911">
        <w:rPr>
          <w:rFonts w:ascii="Arial" w:hAnsi="Arial" w:cs="Arial"/>
          <w:sz w:val="24"/>
          <w:szCs w:val="24"/>
        </w:rPr>
        <w:t>/2</w:t>
      </w:r>
      <w:r w:rsidR="00DE498A" w:rsidRPr="00A16911">
        <w:rPr>
          <w:rFonts w:ascii="Arial" w:hAnsi="Arial" w:cs="Arial"/>
          <w:sz w:val="24"/>
          <w:szCs w:val="24"/>
        </w:rPr>
        <w:t>4</w:t>
      </w:r>
      <w:r w:rsidRPr="00A16911">
        <w:rPr>
          <w:rFonts w:ascii="Arial" w:hAnsi="Arial" w:cs="Arial"/>
          <w:sz w:val="24"/>
          <w:szCs w:val="24"/>
        </w:rPr>
        <w:t xml:space="preserve"> the Nottinghamshire Pension Scheme will have an </w:t>
      </w:r>
      <w:r w:rsidR="005365B9" w:rsidRPr="00A16911">
        <w:rPr>
          <w:rFonts w:ascii="Arial" w:hAnsi="Arial" w:cs="Arial"/>
          <w:sz w:val="24"/>
          <w:szCs w:val="24"/>
        </w:rPr>
        <w:t xml:space="preserve">Actuarial </w:t>
      </w:r>
      <w:r w:rsidR="00DE498A" w:rsidRPr="00A16911">
        <w:rPr>
          <w:rFonts w:ascii="Arial" w:hAnsi="Arial" w:cs="Arial"/>
          <w:sz w:val="24"/>
          <w:szCs w:val="24"/>
        </w:rPr>
        <w:t xml:space="preserve">triennial valuation. However, as this is a number of years away, </w:t>
      </w:r>
      <w:r w:rsidRPr="00A16911">
        <w:rPr>
          <w:rFonts w:ascii="Arial" w:hAnsi="Arial" w:cs="Arial"/>
          <w:sz w:val="24"/>
          <w:szCs w:val="24"/>
        </w:rPr>
        <w:t>the Council has kept the employer’s contribution fixed at the cur</w:t>
      </w:r>
      <w:r w:rsidR="00DE498A" w:rsidRPr="00A16911">
        <w:rPr>
          <w:rFonts w:ascii="Arial" w:hAnsi="Arial" w:cs="Arial"/>
          <w:sz w:val="24"/>
          <w:szCs w:val="24"/>
        </w:rPr>
        <w:t>rent rate of 19</w:t>
      </w:r>
      <w:r w:rsidRPr="00A16911">
        <w:rPr>
          <w:rFonts w:ascii="Arial" w:hAnsi="Arial" w:cs="Arial"/>
          <w:sz w:val="24"/>
          <w:szCs w:val="24"/>
        </w:rPr>
        <w:t>.</w:t>
      </w:r>
      <w:r w:rsidR="00DE498A" w:rsidRPr="00A16911">
        <w:rPr>
          <w:rFonts w:ascii="Arial" w:hAnsi="Arial" w:cs="Arial"/>
          <w:sz w:val="24"/>
          <w:szCs w:val="24"/>
        </w:rPr>
        <w:t>5</w:t>
      </w:r>
      <w:r w:rsidRPr="00A16911">
        <w:rPr>
          <w:rFonts w:ascii="Arial" w:hAnsi="Arial" w:cs="Arial"/>
          <w:sz w:val="24"/>
          <w:szCs w:val="24"/>
        </w:rPr>
        <w:t>%</w:t>
      </w:r>
    </w:p>
    <w:p w14:paraId="706EEC93" w14:textId="77777777" w:rsidR="00054514" w:rsidRDefault="00054514" w:rsidP="00054514">
      <w:pPr>
        <w:jc w:val="left"/>
        <w:rPr>
          <w:b/>
          <w:sz w:val="24"/>
          <w:szCs w:val="24"/>
        </w:rPr>
      </w:pPr>
    </w:p>
    <w:p w14:paraId="6A76B152" w14:textId="2774DC1C" w:rsidR="00605755" w:rsidRDefault="00605755" w:rsidP="0073669D">
      <w:pPr>
        <w:ind w:left="851" w:hanging="851"/>
        <w:jc w:val="left"/>
        <w:outlineLvl w:val="0"/>
        <w:rPr>
          <w:b/>
          <w:sz w:val="24"/>
          <w:szCs w:val="24"/>
        </w:rPr>
      </w:pPr>
    </w:p>
    <w:p w14:paraId="492CEA39" w14:textId="77777777" w:rsidR="00DA7386" w:rsidRDefault="00DA7386" w:rsidP="0073669D">
      <w:pPr>
        <w:ind w:left="851" w:hanging="851"/>
        <w:jc w:val="left"/>
        <w:outlineLvl w:val="0"/>
        <w:rPr>
          <w:b/>
          <w:sz w:val="24"/>
          <w:szCs w:val="24"/>
        </w:rPr>
      </w:pPr>
    </w:p>
    <w:p w14:paraId="667D829C" w14:textId="68C926F1" w:rsidR="00E55E6B" w:rsidRPr="00656AD3" w:rsidRDefault="00D832E4" w:rsidP="0073669D">
      <w:pPr>
        <w:ind w:left="851" w:hanging="851"/>
        <w:jc w:val="left"/>
        <w:outlineLvl w:val="0"/>
        <w:rPr>
          <w:b/>
          <w:sz w:val="24"/>
          <w:szCs w:val="24"/>
        </w:rPr>
      </w:pPr>
      <w:r w:rsidRPr="00656AD3">
        <w:rPr>
          <w:b/>
          <w:sz w:val="24"/>
          <w:szCs w:val="24"/>
        </w:rPr>
        <w:t>3.</w:t>
      </w:r>
      <w:r w:rsidR="0027437C">
        <w:rPr>
          <w:b/>
          <w:sz w:val="24"/>
          <w:szCs w:val="24"/>
        </w:rPr>
        <w:t>4.11</w:t>
      </w:r>
      <w:r w:rsidR="00796212" w:rsidRPr="00656AD3">
        <w:rPr>
          <w:b/>
          <w:sz w:val="24"/>
          <w:szCs w:val="24"/>
        </w:rPr>
        <w:tab/>
      </w:r>
      <w:r w:rsidR="007371D0">
        <w:rPr>
          <w:b/>
          <w:sz w:val="24"/>
          <w:szCs w:val="24"/>
        </w:rPr>
        <w:t>Review of General Fund</w:t>
      </w:r>
      <w:r w:rsidR="003563A1" w:rsidRPr="00656AD3">
        <w:rPr>
          <w:b/>
          <w:sz w:val="24"/>
          <w:szCs w:val="24"/>
        </w:rPr>
        <w:t xml:space="preserve"> </w:t>
      </w:r>
      <w:r w:rsidR="00E55E6B" w:rsidRPr="00656AD3">
        <w:rPr>
          <w:b/>
          <w:sz w:val="24"/>
          <w:szCs w:val="24"/>
        </w:rPr>
        <w:t>Balances</w:t>
      </w:r>
    </w:p>
    <w:p w14:paraId="7808831E" w14:textId="77777777" w:rsidR="00FF205F" w:rsidRPr="00656AD3" w:rsidRDefault="00FF205F" w:rsidP="0073669D">
      <w:pPr>
        <w:ind w:left="851" w:hanging="851"/>
        <w:jc w:val="left"/>
        <w:outlineLvl w:val="0"/>
        <w:rPr>
          <w:b/>
          <w:sz w:val="24"/>
          <w:szCs w:val="24"/>
        </w:rPr>
      </w:pPr>
    </w:p>
    <w:p w14:paraId="799B1E0A" w14:textId="40018648" w:rsidR="00E55E6B" w:rsidRPr="0077109D" w:rsidRDefault="00D832E4" w:rsidP="0073669D">
      <w:pPr>
        <w:ind w:left="851" w:hanging="851"/>
        <w:jc w:val="left"/>
        <w:rPr>
          <w:sz w:val="24"/>
          <w:szCs w:val="24"/>
        </w:rPr>
      </w:pPr>
      <w:r w:rsidRPr="0077109D">
        <w:rPr>
          <w:sz w:val="24"/>
          <w:szCs w:val="24"/>
        </w:rPr>
        <w:t>3.</w:t>
      </w:r>
      <w:r w:rsidR="0027437C">
        <w:rPr>
          <w:sz w:val="24"/>
          <w:szCs w:val="24"/>
        </w:rPr>
        <w:t>4.11</w:t>
      </w:r>
      <w:r w:rsidR="00B71CA0" w:rsidRPr="0077109D">
        <w:rPr>
          <w:sz w:val="24"/>
          <w:szCs w:val="24"/>
        </w:rPr>
        <w:t xml:space="preserve">.1 </w:t>
      </w:r>
      <w:r w:rsidR="00E55E6B" w:rsidRPr="0077109D">
        <w:rPr>
          <w:sz w:val="24"/>
          <w:szCs w:val="24"/>
        </w:rPr>
        <w:t xml:space="preserve">At the end of the </w:t>
      </w:r>
      <w:r w:rsidR="0097702E" w:rsidRPr="0077109D">
        <w:rPr>
          <w:sz w:val="24"/>
          <w:szCs w:val="24"/>
        </w:rPr>
        <w:t>201</w:t>
      </w:r>
      <w:r w:rsidR="00DE498A" w:rsidRPr="0077109D">
        <w:rPr>
          <w:sz w:val="24"/>
          <w:szCs w:val="24"/>
        </w:rPr>
        <w:t>9</w:t>
      </w:r>
      <w:r w:rsidR="0097702E" w:rsidRPr="0077109D">
        <w:rPr>
          <w:sz w:val="24"/>
          <w:szCs w:val="24"/>
        </w:rPr>
        <w:t>/20</w:t>
      </w:r>
      <w:r w:rsidR="007A305D" w:rsidRPr="0077109D">
        <w:rPr>
          <w:sz w:val="24"/>
          <w:szCs w:val="24"/>
        </w:rPr>
        <w:t xml:space="preserve"> </w:t>
      </w:r>
      <w:r w:rsidR="00E55E6B" w:rsidRPr="0077109D">
        <w:rPr>
          <w:sz w:val="24"/>
          <w:szCs w:val="24"/>
        </w:rPr>
        <w:t>financial year, General Fund balances stood at £</w:t>
      </w:r>
      <w:r w:rsidR="00D638AD" w:rsidRPr="0077109D">
        <w:rPr>
          <w:sz w:val="24"/>
          <w:szCs w:val="24"/>
        </w:rPr>
        <w:t>2.</w:t>
      </w:r>
      <w:r w:rsidR="00DE498A" w:rsidRPr="0077109D">
        <w:rPr>
          <w:sz w:val="24"/>
          <w:szCs w:val="24"/>
        </w:rPr>
        <w:t>347</w:t>
      </w:r>
      <w:r w:rsidR="00926AD2" w:rsidRPr="0077109D">
        <w:rPr>
          <w:sz w:val="24"/>
          <w:szCs w:val="24"/>
        </w:rPr>
        <w:t>million</w:t>
      </w:r>
      <w:r w:rsidR="00D638AD" w:rsidRPr="0077109D">
        <w:rPr>
          <w:sz w:val="24"/>
          <w:szCs w:val="24"/>
        </w:rPr>
        <w:t>.</w:t>
      </w:r>
      <w:r w:rsidR="000A4590" w:rsidRPr="0077109D">
        <w:rPr>
          <w:sz w:val="24"/>
          <w:szCs w:val="24"/>
        </w:rPr>
        <w:t xml:space="preserve">  </w:t>
      </w:r>
    </w:p>
    <w:p w14:paraId="4EDC677C" w14:textId="77777777" w:rsidR="00E55E6B" w:rsidRPr="0077109D" w:rsidRDefault="00E55E6B" w:rsidP="0073669D">
      <w:pPr>
        <w:tabs>
          <w:tab w:val="left" w:pos="1440"/>
          <w:tab w:val="left" w:pos="6660"/>
        </w:tabs>
        <w:ind w:left="851" w:hanging="851"/>
        <w:rPr>
          <w:rFonts w:cs="Arial"/>
          <w:sz w:val="24"/>
          <w:szCs w:val="24"/>
        </w:rPr>
      </w:pPr>
    </w:p>
    <w:p w14:paraId="787AD1A4" w14:textId="491F3EA9" w:rsidR="00E55E6B" w:rsidRPr="0077109D" w:rsidRDefault="00502549" w:rsidP="0073669D">
      <w:pPr>
        <w:ind w:left="851" w:hanging="851"/>
        <w:jc w:val="left"/>
        <w:rPr>
          <w:sz w:val="24"/>
          <w:szCs w:val="24"/>
        </w:rPr>
      </w:pPr>
      <w:r w:rsidRPr="0077109D">
        <w:rPr>
          <w:sz w:val="24"/>
          <w:szCs w:val="24"/>
        </w:rPr>
        <w:t>3.</w:t>
      </w:r>
      <w:r w:rsidR="0027437C">
        <w:rPr>
          <w:sz w:val="24"/>
          <w:szCs w:val="24"/>
        </w:rPr>
        <w:t>4.11</w:t>
      </w:r>
      <w:r w:rsidR="00B71CA0" w:rsidRPr="0077109D">
        <w:rPr>
          <w:sz w:val="24"/>
          <w:szCs w:val="24"/>
        </w:rPr>
        <w:t xml:space="preserve">.2 </w:t>
      </w:r>
      <w:r w:rsidR="00E55E6B" w:rsidRPr="0077109D">
        <w:rPr>
          <w:sz w:val="24"/>
          <w:szCs w:val="24"/>
        </w:rPr>
        <w:t>As part of the budget setting process, a risk assessment was carried out on the minimum level of General Fund Balances held by the Council.  A copy of which can be found in Appendix</w:t>
      </w:r>
      <w:r w:rsidR="00605755" w:rsidRPr="0077109D">
        <w:rPr>
          <w:sz w:val="24"/>
          <w:szCs w:val="24"/>
        </w:rPr>
        <w:t xml:space="preserve"> </w:t>
      </w:r>
      <w:r w:rsidR="00933211">
        <w:rPr>
          <w:sz w:val="24"/>
          <w:szCs w:val="24"/>
        </w:rPr>
        <w:t>6</w:t>
      </w:r>
      <w:r w:rsidR="004E3A16" w:rsidRPr="0077109D">
        <w:rPr>
          <w:sz w:val="24"/>
          <w:szCs w:val="24"/>
        </w:rPr>
        <w:t>.</w:t>
      </w:r>
      <w:r w:rsidR="00E55E6B" w:rsidRPr="0077109D">
        <w:rPr>
          <w:sz w:val="24"/>
          <w:szCs w:val="24"/>
        </w:rPr>
        <w:t xml:space="preserve">  Based on this risk assessment, the minimum recommended level held in General Fund Balances </w:t>
      </w:r>
      <w:r w:rsidR="00952335" w:rsidRPr="0077109D">
        <w:rPr>
          <w:sz w:val="24"/>
          <w:szCs w:val="24"/>
        </w:rPr>
        <w:t xml:space="preserve">is </w:t>
      </w:r>
      <w:r w:rsidR="00000044" w:rsidRPr="0077109D">
        <w:rPr>
          <w:sz w:val="24"/>
          <w:szCs w:val="24"/>
        </w:rPr>
        <w:t>£</w:t>
      </w:r>
      <w:r w:rsidR="00EE127D" w:rsidRPr="0077109D">
        <w:rPr>
          <w:sz w:val="24"/>
          <w:szCs w:val="24"/>
        </w:rPr>
        <w:t>2.1</w:t>
      </w:r>
      <w:r w:rsidR="00B050CE" w:rsidRPr="0077109D">
        <w:rPr>
          <w:sz w:val="24"/>
          <w:szCs w:val="24"/>
        </w:rPr>
        <w:t>million</w:t>
      </w:r>
      <w:r w:rsidR="00EE127D" w:rsidRPr="0077109D">
        <w:rPr>
          <w:sz w:val="24"/>
          <w:szCs w:val="24"/>
        </w:rPr>
        <w:t>.</w:t>
      </w:r>
    </w:p>
    <w:p w14:paraId="1AC9795D" w14:textId="77777777" w:rsidR="000A4590" w:rsidRPr="0077109D" w:rsidRDefault="000A4590" w:rsidP="0073669D">
      <w:pPr>
        <w:ind w:left="851" w:hanging="851"/>
        <w:jc w:val="left"/>
        <w:rPr>
          <w:sz w:val="24"/>
          <w:szCs w:val="24"/>
        </w:rPr>
      </w:pPr>
    </w:p>
    <w:p w14:paraId="3E41B722" w14:textId="455B9430" w:rsidR="000A4590" w:rsidRPr="00656AD3" w:rsidRDefault="0027437C" w:rsidP="0073669D">
      <w:pPr>
        <w:ind w:left="851" w:hanging="851"/>
        <w:jc w:val="left"/>
        <w:rPr>
          <w:sz w:val="24"/>
          <w:szCs w:val="24"/>
        </w:rPr>
      </w:pPr>
      <w:r>
        <w:rPr>
          <w:sz w:val="24"/>
          <w:szCs w:val="24"/>
        </w:rPr>
        <w:t>3.4.11</w:t>
      </w:r>
      <w:r w:rsidR="00E33107" w:rsidRPr="0077109D">
        <w:rPr>
          <w:sz w:val="24"/>
          <w:szCs w:val="24"/>
        </w:rPr>
        <w:t>.3 Should the General</w:t>
      </w:r>
      <w:r w:rsidR="00DE498A" w:rsidRPr="0077109D">
        <w:rPr>
          <w:sz w:val="24"/>
          <w:szCs w:val="24"/>
        </w:rPr>
        <w:t xml:space="preserve"> Fund make a deficit on its 2020</w:t>
      </w:r>
      <w:r w:rsidR="00E33107" w:rsidRPr="0077109D">
        <w:rPr>
          <w:sz w:val="24"/>
          <w:szCs w:val="24"/>
        </w:rPr>
        <w:t>/2</w:t>
      </w:r>
      <w:r w:rsidR="00DE498A" w:rsidRPr="0077109D">
        <w:rPr>
          <w:sz w:val="24"/>
          <w:szCs w:val="24"/>
        </w:rPr>
        <w:t>1</w:t>
      </w:r>
      <w:r w:rsidR="00E33107" w:rsidRPr="0077109D">
        <w:rPr>
          <w:sz w:val="24"/>
          <w:szCs w:val="24"/>
        </w:rPr>
        <w:t xml:space="preserve"> budget outturn position, this will further reduce General Fund </w:t>
      </w:r>
      <w:proofErr w:type="gramStart"/>
      <w:r w:rsidR="00E33107" w:rsidRPr="0077109D">
        <w:rPr>
          <w:sz w:val="24"/>
          <w:szCs w:val="24"/>
        </w:rPr>
        <w:t>Balances.</w:t>
      </w:r>
      <w:proofErr w:type="gramEnd"/>
    </w:p>
    <w:p w14:paraId="7A1B5EBA" w14:textId="77777777" w:rsidR="00E55E6B" w:rsidRPr="00656AD3" w:rsidRDefault="00E55E6B" w:rsidP="0073669D">
      <w:pPr>
        <w:ind w:left="851" w:hanging="851"/>
        <w:jc w:val="left"/>
        <w:rPr>
          <w:rFonts w:cs="Arial"/>
          <w:sz w:val="24"/>
          <w:szCs w:val="24"/>
        </w:rPr>
      </w:pPr>
    </w:p>
    <w:p w14:paraId="070DFB70" w14:textId="77777777" w:rsidR="00000217" w:rsidRPr="00656AD3" w:rsidRDefault="00000217">
      <w:pPr>
        <w:jc w:val="left"/>
        <w:rPr>
          <w:b/>
          <w:sz w:val="24"/>
          <w:szCs w:val="24"/>
        </w:rPr>
      </w:pPr>
    </w:p>
    <w:p w14:paraId="3E73A086" w14:textId="379BC5BC" w:rsidR="00E55E6B" w:rsidRPr="00656AD3" w:rsidRDefault="003E5A65" w:rsidP="0073669D">
      <w:pPr>
        <w:ind w:left="851" w:hanging="851"/>
        <w:outlineLvl w:val="0"/>
        <w:rPr>
          <w:b/>
          <w:sz w:val="24"/>
          <w:szCs w:val="24"/>
        </w:rPr>
      </w:pPr>
      <w:r w:rsidRPr="00656AD3">
        <w:rPr>
          <w:b/>
          <w:sz w:val="24"/>
          <w:szCs w:val="24"/>
        </w:rPr>
        <w:t>3.</w:t>
      </w:r>
      <w:r w:rsidR="00B71CA0">
        <w:rPr>
          <w:b/>
          <w:sz w:val="24"/>
          <w:szCs w:val="24"/>
        </w:rPr>
        <w:t>4.</w:t>
      </w:r>
      <w:r w:rsidR="00B71CA0" w:rsidRPr="00656AD3">
        <w:rPr>
          <w:b/>
          <w:sz w:val="24"/>
          <w:szCs w:val="24"/>
        </w:rPr>
        <w:t>1</w:t>
      </w:r>
      <w:r w:rsidR="0027437C">
        <w:rPr>
          <w:b/>
          <w:sz w:val="24"/>
          <w:szCs w:val="24"/>
        </w:rPr>
        <w:t>2</w:t>
      </w:r>
      <w:r w:rsidR="00E55E6B" w:rsidRPr="00656AD3">
        <w:rPr>
          <w:b/>
          <w:sz w:val="24"/>
          <w:szCs w:val="24"/>
        </w:rPr>
        <w:tab/>
        <w:t>Review of Earmarked Reserves</w:t>
      </w:r>
    </w:p>
    <w:p w14:paraId="74E20E4B" w14:textId="77777777" w:rsidR="00E55E6B" w:rsidRPr="00656AD3" w:rsidRDefault="00E55E6B" w:rsidP="0073669D">
      <w:pPr>
        <w:ind w:left="851" w:hanging="851"/>
        <w:rPr>
          <w:sz w:val="24"/>
          <w:szCs w:val="24"/>
        </w:rPr>
      </w:pPr>
    </w:p>
    <w:p w14:paraId="1F4B3661" w14:textId="3BD074FE" w:rsidR="00D368D9" w:rsidRPr="00656AD3" w:rsidRDefault="003E5A65" w:rsidP="0073669D">
      <w:pPr>
        <w:tabs>
          <w:tab w:val="left" w:pos="1440"/>
          <w:tab w:val="left" w:pos="6660"/>
        </w:tabs>
        <w:ind w:left="851" w:hanging="851"/>
        <w:jc w:val="left"/>
        <w:rPr>
          <w:rFonts w:cs="Arial"/>
          <w:sz w:val="24"/>
          <w:szCs w:val="24"/>
        </w:rPr>
      </w:pPr>
      <w:r w:rsidRPr="00656AD3">
        <w:rPr>
          <w:rFonts w:cs="Arial"/>
          <w:sz w:val="24"/>
          <w:szCs w:val="24"/>
        </w:rPr>
        <w:t>3.</w:t>
      </w:r>
      <w:r w:rsidR="0027437C">
        <w:rPr>
          <w:rFonts w:cs="Arial"/>
          <w:sz w:val="24"/>
          <w:szCs w:val="24"/>
        </w:rPr>
        <w:t>4.12</w:t>
      </w:r>
      <w:r w:rsidR="00B71CA0">
        <w:rPr>
          <w:rFonts w:cs="Arial"/>
          <w:sz w:val="24"/>
          <w:szCs w:val="24"/>
        </w:rPr>
        <w:t xml:space="preserve">.1 </w:t>
      </w:r>
      <w:r w:rsidR="00E55E6B" w:rsidRPr="00656AD3">
        <w:rPr>
          <w:rFonts w:cs="Arial"/>
          <w:sz w:val="24"/>
          <w:szCs w:val="24"/>
        </w:rPr>
        <w:t xml:space="preserve">As part of the budget setting process, </w:t>
      </w:r>
      <w:r w:rsidR="00BA7257" w:rsidRPr="00656AD3">
        <w:rPr>
          <w:rFonts w:cs="Arial"/>
          <w:sz w:val="24"/>
          <w:szCs w:val="24"/>
        </w:rPr>
        <w:t>E</w:t>
      </w:r>
      <w:r w:rsidR="00CD33AC" w:rsidRPr="00656AD3">
        <w:rPr>
          <w:rFonts w:cs="Arial"/>
          <w:sz w:val="24"/>
          <w:szCs w:val="24"/>
        </w:rPr>
        <w:t xml:space="preserve">armarked </w:t>
      </w:r>
      <w:r w:rsidR="00BA7257" w:rsidRPr="00656AD3">
        <w:rPr>
          <w:rFonts w:cs="Arial"/>
          <w:sz w:val="24"/>
          <w:szCs w:val="24"/>
        </w:rPr>
        <w:t>Reserves</w:t>
      </w:r>
      <w:r w:rsidR="00CD33AC" w:rsidRPr="00656AD3">
        <w:rPr>
          <w:rFonts w:cs="Arial"/>
          <w:sz w:val="24"/>
          <w:szCs w:val="24"/>
        </w:rPr>
        <w:t>,</w:t>
      </w:r>
      <w:r w:rsidR="00E55E6B" w:rsidRPr="00656AD3">
        <w:rPr>
          <w:rFonts w:cs="Arial"/>
          <w:sz w:val="24"/>
          <w:szCs w:val="24"/>
        </w:rPr>
        <w:t xml:space="preserve"> and the level of resources held in each are reviewed to determine whether they are still required.  If any reserve is no longer deemed as being necessary, then resources are released back to either the revenue account or the capital programme.</w:t>
      </w:r>
      <w:r w:rsidR="00D368D9" w:rsidRPr="00656AD3">
        <w:rPr>
          <w:rFonts w:cs="Arial"/>
          <w:sz w:val="24"/>
          <w:szCs w:val="24"/>
        </w:rPr>
        <w:t xml:space="preserve">  </w:t>
      </w:r>
    </w:p>
    <w:p w14:paraId="2371E6B4" w14:textId="77777777" w:rsidR="00D368D9" w:rsidRPr="00656AD3" w:rsidRDefault="00D368D9" w:rsidP="0073669D">
      <w:pPr>
        <w:tabs>
          <w:tab w:val="left" w:pos="1440"/>
          <w:tab w:val="left" w:pos="6660"/>
        </w:tabs>
        <w:ind w:left="851" w:hanging="851"/>
        <w:jc w:val="left"/>
        <w:rPr>
          <w:rFonts w:cs="Arial"/>
          <w:sz w:val="24"/>
          <w:szCs w:val="24"/>
        </w:rPr>
      </w:pPr>
    </w:p>
    <w:p w14:paraId="63AC5B75" w14:textId="29202129" w:rsidR="00B050CE" w:rsidRPr="00656AD3" w:rsidRDefault="00796212" w:rsidP="0073669D">
      <w:pPr>
        <w:ind w:left="851" w:hanging="851"/>
        <w:jc w:val="left"/>
        <w:rPr>
          <w:rFonts w:cs="Arial"/>
          <w:sz w:val="24"/>
          <w:szCs w:val="24"/>
        </w:rPr>
      </w:pPr>
      <w:r w:rsidRPr="00656AD3">
        <w:rPr>
          <w:rFonts w:cs="Arial"/>
          <w:sz w:val="24"/>
          <w:szCs w:val="24"/>
        </w:rPr>
        <w:t>3.</w:t>
      </w:r>
      <w:r w:rsidR="0027437C">
        <w:rPr>
          <w:rFonts w:cs="Arial"/>
          <w:sz w:val="24"/>
          <w:szCs w:val="24"/>
        </w:rPr>
        <w:t>4.12</w:t>
      </w:r>
      <w:r w:rsidR="00B71CA0">
        <w:rPr>
          <w:rFonts w:cs="Arial"/>
          <w:sz w:val="24"/>
          <w:szCs w:val="24"/>
        </w:rPr>
        <w:t xml:space="preserve">.2 </w:t>
      </w:r>
      <w:r w:rsidR="00EE127D" w:rsidRPr="00FA5454">
        <w:rPr>
          <w:rFonts w:cs="Arial"/>
          <w:sz w:val="24"/>
          <w:szCs w:val="24"/>
        </w:rPr>
        <w:t xml:space="preserve">The review </w:t>
      </w:r>
      <w:r w:rsidRPr="00FA5454">
        <w:rPr>
          <w:rFonts w:cs="Arial"/>
          <w:sz w:val="24"/>
          <w:szCs w:val="24"/>
        </w:rPr>
        <w:t xml:space="preserve">carried out as part of the budget setting process </w:t>
      </w:r>
      <w:r w:rsidR="00EE127D" w:rsidRPr="00FA5454">
        <w:rPr>
          <w:rFonts w:cs="Arial"/>
          <w:sz w:val="24"/>
          <w:szCs w:val="24"/>
        </w:rPr>
        <w:t>revealed that the level of Earmarked Reserves is required to meet future expected expenditure, there</w:t>
      </w:r>
      <w:r w:rsidR="00795C65" w:rsidRPr="00FA5454">
        <w:rPr>
          <w:rFonts w:cs="Arial"/>
          <w:sz w:val="24"/>
          <w:szCs w:val="24"/>
        </w:rPr>
        <w:t>fore meaning that resources can</w:t>
      </w:r>
      <w:r w:rsidR="00EE127D" w:rsidRPr="00FA5454">
        <w:rPr>
          <w:rFonts w:cs="Arial"/>
          <w:sz w:val="24"/>
          <w:szCs w:val="24"/>
        </w:rPr>
        <w:t>not be freed up at this time.</w:t>
      </w:r>
    </w:p>
    <w:p w14:paraId="663D9010" w14:textId="77777777" w:rsidR="00EE127D" w:rsidRPr="00656AD3" w:rsidRDefault="00EE127D" w:rsidP="0073669D">
      <w:pPr>
        <w:ind w:left="851" w:hanging="851"/>
        <w:rPr>
          <w:rFonts w:cs="Arial"/>
          <w:sz w:val="24"/>
          <w:szCs w:val="24"/>
        </w:rPr>
      </w:pPr>
    </w:p>
    <w:p w14:paraId="62CC999D" w14:textId="77777777" w:rsidR="00E33107" w:rsidRDefault="00E33107" w:rsidP="00D53DE6">
      <w:pPr>
        <w:jc w:val="left"/>
        <w:rPr>
          <w:b/>
          <w:sz w:val="24"/>
          <w:szCs w:val="24"/>
        </w:rPr>
      </w:pPr>
    </w:p>
    <w:p w14:paraId="5E2E1A23" w14:textId="77777777" w:rsidR="00BA6539" w:rsidRPr="00656AD3" w:rsidRDefault="003D546F" w:rsidP="00D53DE6">
      <w:pPr>
        <w:jc w:val="left"/>
        <w:rPr>
          <w:b/>
          <w:sz w:val="24"/>
          <w:szCs w:val="24"/>
        </w:rPr>
      </w:pPr>
      <w:r w:rsidRPr="00656AD3">
        <w:rPr>
          <w:b/>
          <w:sz w:val="24"/>
          <w:szCs w:val="24"/>
        </w:rPr>
        <w:t>3.</w:t>
      </w:r>
      <w:r w:rsidR="00605755">
        <w:rPr>
          <w:b/>
          <w:sz w:val="24"/>
          <w:szCs w:val="24"/>
        </w:rPr>
        <w:t>5</w:t>
      </w:r>
      <w:r w:rsidRPr="00656AD3">
        <w:rPr>
          <w:b/>
          <w:sz w:val="24"/>
          <w:szCs w:val="24"/>
        </w:rPr>
        <w:tab/>
      </w:r>
      <w:r w:rsidR="00495589" w:rsidRPr="00656AD3">
        <w:rPr>
          <w:b/>
          <w:sz w:val="24"/>
          <w:szCs w:val="24"/>
        </w:rPr>
        <w:t>Housing Revenue Account</w:t>
      </w:r>
    </w:p>
    <w:p w14:paraId="29ADA574" w14:textId="77777777" w:rsidR="00FC233E" w:rsidRDefault="00FC233E" w:rsidP="0073669D">
      <w:pPr>
        <w:ind w:left="851" w:hanging="851"/>
        <w:rPr>
          <w:sz w:val="24"/>
          <w:szCs w:val="24"/>
        </w:rPr>
      </w:pPr>
    </w:p>
    <w:p w14:paraId="05B12CD5" w14:textId="77777777" w:rsidR="008262C9" w:rsidRDefault="00605755" w:rsidP="00772FE1">
      <w:pPr>
        <w:ind w:left="851" w:hanging="851"/>
        <w:jc w:val="left"/>
        <w:rPr>
          <w:sz w:val="24"/>
          <w:szCs w:val="24"/>
        </w:rPr>
      </w:pPr>
      <w:r>
        <w:rPr>
          <w:sz w:val="24"/>
          <w:szCs w:val="24"/>
        </w:rPr>
        <w:t>3.5.1</w:t>
      </w:r>
      <w:r w:rsidR="008262C9">
        <w:rPr>
          <w:sz w:val="24"/>
          <w:szCs w:val="24"/>
        </w:rPr>
        <w:tab/>
      </w:r>
      <w:r w:rsidR="008262C9" w:rsidRPr="00656AD3">
        <w:rPr>
          <w:sz w:val="24"/>
          <w:szCs w:val="24"/>
        </w:rPr>
        <w:t>The Housing Revenue Account (HRA) is a ring fenced account, within which the costs incurred by the Council in delivering a landlord function in respect of its council dwellings is met through rents paid by Council tenants</w:t>
      </w:r>
    </w:p>
    <w:p w14:paraId="7911AB1C" w14:textId="77777777" w:rsidR="008262C9" w:rsidRDefault="008262C9" w:rsidP="00772FE1">
      <w:pPr>
        <w:ind w:left="851" w:hanging="851"/>
        <w:jc w:val="left"/>
        <w:rPr>
          <w:sz w:val="24"/>
          <w:szCs w:val="24"/>
        </w:rPr>
      </w:pPr>
    </w:p>
    <w:p w14:paraId="35DE592B" w14:textId="77777777" w:rsidR="006A5A19" w:rsidRDefault="006A5A19" w:rsidP="00106DCF">
      <w:pPr>
        <w:jc w:val="left"/>
        <w:rPr>
          <w:sz w:val="24"/>
          <w:szCs w:val="24"/>
        </w:rPr>
      </w:pPr>
    </w:p>
    <w:p w14:paraId="2E0F942C" w14:textId="77777777" w:rsidR="008262C9" w:rsidRPr="008262C9" w:rsidRDefault="00605755" w:rsidP="00772FE1">
      <w:pPr>
        <w:ind w:left="720" w:hanging="720"/>
        <w:jc w:val="left"/>
        <w:rPr>
          <w:b/>
          <w:sz w:val="24"/>
          <w:szCs w:val="24"/>
        </w:rPr>
      </w:pPr>
      <w:r>
        <w:rPr>
          <w:b/>
          <w:sz w:val="24"/>
          <w:szCs w:val="24"/>
        </w:rPr>
        <w:t>3.5.</w:t>
      </w:r>
      <w:r w:rsidR="00DF553C">
        <w:rPr>
          <w:b/>
          <w:sz w:val="24"/>
          <w:szCs w:val="24"/>
        </w:rPr>
        <w:t>2</w:t>
      </w:r>
      <w:r w:rsidR="008262C9">
        <w:rPr>
          <w:b/>
          <w:sz w:val="24"/>
          <w:szCs w:val="24"/>
        </w:rPr>
        <w:tab/>
      </w:r>
      <w:r w:rsidR="000618FA">
        <w:rPr>
          <w:b/>
          <w:sz w:val="24"/>
          <w:szCs w:val="24"/>
        </w:rPr>
        <w:t xml:space="preserve">Housing Revenue Account (HRA) </w:t>
      </w:r>
      <w:r w:rsidR="008262C9" w:rsidRPr="008262C9">
        <w:rPr>
          <w:b/>
          <w:sz w:val="24"/>
          <w:szCs w:val="24"/>
        </w:rPr>
        <w:t>Proposed Budget</w:t>
      </w:r>
      <w:r w:rsidR="000618FA">
        <w:rPr>
          <w:b/>
          <w:sz w:val="24"/>
          <w:szCs w:val="24"/>
        </w:rPr>
        <w:t>, 202</w:t>
      </w:r>
      <w:r w:rsidR="0077109D">
        <w:rPr>
          <w:b/>
          <w:sz w:val="24"/>
          <w:szCs w:val="24"/>
        </w:rPr>
        <w:t>1</w:t>
      </w:r>
      <w:r w:rsidR="000618FA">
        <w:rPr>
          <w:b/>
          <w:sz w:val="24"/>
          <w:szCs w:val="24"/>
        </w:rPr>
        <w:t>/2</w:t>
      </w:r>
      <w:r w:rsidR="0077109D">
        <w:rPr>
          <w:b/>
          <w:sz w:val="24"/>
          <w:szCs w:val="24"/>
        </w:rPr>
        <w:t>2 to 2023/24</w:t>
      </w:r>
    </w:p>
    <w:p w14:paraId="26B435C0" w14:textId="77777777" w:rsidR="008262C9" w:rsidRPr="00656AD3" w:rsidRDefault="008262C9" w:rsidP="00772FE1">
      <w:pPr>
        <w:jc w:val="left"/>
        <w:rPr>
          <w:sz w:val="24"/>
          <w:szCs w:val="24"/>
        </w:rPr>
      </w:pPr>
    </w:p>
    <w:p w14:paraId="6A7ED174" w14:textId="6D778E4F" w:rsidR="0074767C" w:rsidRPr="00656AD3" w:rsidRDefault="00245A2A" w:rsidP="00990FB6">
      <w:pPr>
        <w:ind w:left="851" w:hanging="851"/>
        <w:jc w:val="left"/>
        <w:rPr>
          <w:sz w:val="24"/>
          <w:szCs w:val="24"/>
        </w:rPr>
      </w:pPr>
      <w:r w:rsidRPr="00656AD3">
        <w:rPr>
          <w:sz w:val="24"/>
          <w:szCs w:val="24"/>
        </w:rPr>
        <w:t>3.</w:t>
      </w:r>
      <w:r w:rsidR="00605755">
        <w:rPr>
          <w:sz w:val="24"/>
          <w:szCs w:val="24"/>
        </w:rPr>
        <w:t>5.</w:t>
      </w:r>
      <w:r w:rsidR="00DF553C">
        <w:rPr>
          <w:sz w:val="24"/>
          <w:szCs w:val="24"/>
        </w:rPr>
        <w:t>2</w:t>
      </w:r>
      <w:r w:rsidR="00605755">
        <w:rPr>
          <w:sz w:val="24"/>
          <w:szCs w:val="24"/>
        </w:rPr>
        <w:t>.1</w:t>
      </w:r>
      <w:r w:rsidR="00502549" w:rsidRPr="00656AD3">
        <w:rPr>
          <w:sz w:val="24"/>
          <w:szCs w:val="24"/>
        </w:rPr>
        <w:tab/>
      </w:r>
      <w:r w:rsidR="00755F99">
        <w:rPr>
          <w:sz w:val="24"/>
          <w:szCs w:val="24"/>
        </w:rPr>
        <w:t>Appendix 3</w:t>
      </w:r>
      <w:r w:rsidR="00C93606" w:rsidRPr="00656AD3">
        <w:rPr>
          <w:sz w:val="24"/>
          <w:szCs w:val="24"/>
        </w:rPr>
        <w:t xml:space="preserve"> </w:t>
      </w:r>
      <w:r w:rsidR="00FC233E" w:rsidRPr="00656AD3">
        <w:rPr>
          <w:sz w:val="24"/>
          <w:szCs w:val="24"/>
        </w:rPr>
        <w:t>summarises the Housing Revenue Account proposed budgets</w:t>
      </w:r>
      <w:r w:rsidR="0077109D">
        <w:rPr>
          <w:sz w:val="24"/>
          <w:szCs w:val="24"/>
        </w:rPr>
        <w:t xml:space="preserve"> for the 2021</w:t>
      </w:r>
      <w:r w:rsidR="008262C9">
        <w:rPr>
          <w:sz w:val="24"/>
          <w:szCs w:val="24"/>
        </w:rPr>
        <w:t>/</w:t>
      </w:r>
      <w:r w:rsidR="0077109D">
        <w:rPr>
          <w:sz w:val="24"/>
          <w:szCs w:val="24"/>
        </w:rPr>
        <w:t>22</w:t>
      </w:r>
      <w:r w:rsidR="008262C9">
        <w:rPr>
          <w:sz w:val="24"/>
          <w:szCs w:val="24"/>
        </w:rPr>
        <w:t xml:space="preserve"> to 202</w:t>
      </w:r>
      <w:r w:rsidR="0077109D">
        <w:rPr>
          <w:sz w:val="24"/>
          <w:szCs w:val="24"/>
        </w:rPr>
        <w:t>3</w:t>
      </w:r>
      <w:r w:rsidR="008262C9">
        <w:rPr>
          <w:sz w:val="24"/>
          <w:szCs w:val="24"/>
        </w:rPr>
        <w:t>/2</w:t>
      </w:r>
      <w:r w:rsidR="0077109D">
        <w:rPr>
          <w:sz w:val="24"/>
          <w:szCs w:val="24"/>
        </w:rPr>
        <w:t>4</w:t>
      </w:r>
      <w:r w:rsidR="008262C9">
        <w:rPr>
          <w:sz w:val="24"/>
          <w:szCs w:val="24"/>
        </w:rPr>
        <w:t xml:space="preserve"> financial years</w:t>
      </w:r>
      <w:r w:rsidR="005A0410">
        <w:rPr>
          <w:sz w:val="24"/>
          <w:szCs w:val="24"/>
        </w:rPr>
        <w:t>.</w:t>
      </w:r>
      <w:r w:rsidR="00A14DF2" w:rsidRPr="00656AD3">
        <w:rPr>
          <w:sz w:val="24"/>
          <w:szCs w:val="24"/>
        </w:rPr>
        <w:t xml:space="preserve">  </w:t>
      </w:r>
    </w:p>
    <w:p w14:paraId="1E362CA7" w14:textId="77777777" w:rsidR="00953892" w:rsidRPr="00656AD3" w:rsidRDefault="00953892" w:rsidP="000069CC">
      <w:pPr>
        <w:ind w:left="720" w:hanging="720"/>
        <w:jc w:val="left"/>
        <w:rPr>
          <w:sz w:val="24"/>
          <w:szCs w:val="24"/>
        </w:rPr>
      </w:pPr>
    </w:p>
    <w:p w14:paraId="71FA4EE1" w14:textId="4E8C2FBC" w:rsidR="00D734C3" w:rsidRDefault="005A0410" w:rsidP="003C69B7">
      <w:pPr>
        <w:ind w:left="851" w:hanging="851"/>
        <w:jc w:val="left"/>
        <w:rPr>
          <w:sz w:val="24"/>
          <w:szCs w:val="24"/>
        </w:rPr>
      </w:pPr>
      <w:r w:rsidRPr="00C9273D">
        <w:rPr>
          <w:sz w:val="24"/>
          <w:szCs w:val="24"/>
        </w:rPr>
        <w:t>3.5.2</w:t>
      </w:r>
      <w:r w:rsidR="00DF553C" w:rsidRPr="00C9273D">
        <w:rPr>
          <w:sz w:val="24"/>
          <w:szCs w:val="24"/>
        </w:rPr>
        <w:t>.2</w:t>
      </w:r>
      <w:r w:rsidRPr="00C9273D">
        <w:rPr>
          <w:sz w:val="24"/>
          <w:szCs w:val="24"/>
        </w:rPr>
        <w:tab/>
        <w:t xml:space="preserve">The proposed budget for the Housing Revenue Account (HRA) shows a </w:t>
      </w:r>
      <w:r w:rsidR="00FA3B27">
        <w:rPr>
          <w:sz w:val="24"/>
          <w:szCs w:val="24"/>
        </w:rPr>
        <w:t xml:space="preserve">balanced </w:t>
      </w:r>
      <w:r w:rsidR="0077109D" w:rsidRPr="00C9273D">
        <w:rPr>
          <w:sz w:val="24"/>
          <w:szCs w:val="24"/>
        </w:rPr>
        <w:t>budget position for 2021</w:t>
      </w:r>
      <w:r w:rsidRPr="00C9273D">
        <w:rPr>
          <w:sz w:val="24"/>
          <w:szCs w:val="24"/>
        </w:rPr>
        <w:t>/2</w:t>
      </w:r>
      <w:r w:rsidR="0077109D" w:rsidRPr="00C9273D">
        <w:rPr>
          <w:sz w:val="24"/>
          <w:szCs w:val="24"/>
        </w:rPr>
        <w:t>2</w:t>
      </w:r>
      <w:r w:rsidR="00FA3B27">
        <w:rPr>
          <w:sz w:val="24"/>
          <w:szCs w:val="24"/>
        </w:rPr>
        <w:t xml:space="preserve">, with deficits in </w:t>
      </w:r>
      <w:r w:rsidRPr="00C9273D">
        <w:rPr>
          <w:sz w:val="24"/>
          <w:szCs w:val="24"/>
        </w:rPr>
        <w:t>future years</w:t>
      </w:r>
      <w:r w:rsidR="00C872B0" w:rsidRPr="00C9273D">
        <w:rPr>
          <w:sz w:val="24"/>
          <w:szCs w:val="24"/>
        </w:rPr>
        <w:t>.</w:t>
      </w:r>
      <w:r w:rsidRPr="00C9273D">
        <w:rPr>
          <w:sz w:val="24"/>
          <w:szCs w:val="24"/>
        </w:rPr>
        <w:t xml:space="preserve"> </w:t>
      </w:r>
    </w:p>
    <w:p w14:paraId="2F69846F" w14:textId="691803A5" w:rsidR="005365B9" w:rsidRDefault="005365B9" w:rsidP="000B0155">
      <w:pPr>
        <w:jc w:val="left"/>
        <w:rPr>
          <w:sz w:val="24"/>
          <w:szCs w:val="24"/>
        </w:rPr>
      </w:pPr>
    </w:p>
    <w:p w14:paraId="27B1E254" w14:textId="2417E627" w:rsidR="00E432FA" w:rsidRDefault="00E432FA" w:rsidP="000B0155">
      <w:pPr>
        <w:jc w:val="left"/>
        <w:rPr>
          <w:sz w:val="24"/>
          <w:szCs w:val="24"/>
        </w:rPr>
      </w:pPr>
    </w:p>
    <w:p w14:paraId="7E0A5C01" w14:textId="77777777" w:rsidR="005365B9" w:rsidRPr="00772FE1" w:rsidRDefault="005365B9" w:rsidP="005365B9">
      <w:pPr>
        <w:ind w:left="851" w:hanging="851"/>
        <w:jc w:val="left"/>
        <w:rPr>
          <w:b/>
          <w:sz w:val="24"/>
          <w:szCs w:val="24"/>
        </w:rPr>
      </w:pPr>
      <w:r w:rsidRPr="00772FE1">
        <w:rPr>
          <w:b/>
          <w:sz w:val="24"/>
          <w:szCs w:val="24"/>
        </w:rPr>
        <w:t>3.5.3</w:t>
      </w:r>
      <w:r w:rsidRPr="00772FE1">
        <w:rPr>
          <w:b/>
          <w:sz w:val="24"/>
          <w:szCs w:val="24"/>
        </w:rPr>
        <w:tab/>
        <w:t>Assumptions</w:t>
      </w:r>
    </w:p>
    <w:p w14:paraId="6E788FB7" w14:textId="77777777" w:rsidR="005365B9" w:rsidRDefault="005365B9" w:rsidP="005365B9">
      <w:pPr>
        <w:ind w:left="851" w:hanging="851"/>
        <w:jc w:val="left"/>
        <w:rPr>
          <w:sz w:val="24"/>
          <w:szCs w:val="24"/>
        </w:rPr>
      </w:pPr>
    </w:p>
    <w:p w14:paraId="222E5B57" w14:textId="77777777" w:rsidR="005365B9" w:rsidRDefault="005365B9" w:rsidP="005365B9">
      <w:pPr>
        <w:ind w:left="851" w:hanging="851"/>
        <w:jc w:val="left"/>
        <w:rPr>
          <w:sz w:val="24"/>
          <w:szCs w:val="24"/>
        </w:rPr>
      </w:pPr>
      <w:r>
        <w:rPr>
          <w:sz w:val="24"/>
          <w:szCs w:val="24"/>
        </w:rPr>
        <w:t>3.5.3.1</w:t>
      </w:r>
      <w:r>
        <w:rPr>
          <w:sz w:val="24"/>
          <w:szCs w:val="24"/>
        </w:rPr>
        <w:tab/>
        <w:t>The HRA budget makes the same assumptions as the General Fund in relation to staff costs and inflation, however there are some additional assumptions which are specific to the HRA, including:</w:t>
      </w:r>
    </w:p>
    <w:p w14:paraId="6772D5D2" w14:textId="77777777" w:rsidR="005365B9" w:rsidRDefault="005365B9" w:rsidP="005365B9">
      <w:pPr>
        <w:ind w:left="851" w:hanging="851"/>
        <w:jc w:val="left"/>
        <w:rPr>
          <w:sz w:val="24"/>
          <w:szCs w:val="24"/>
        </w:rPr>
      </w:pPr>
    </w:p>
    <w:p w14:paraId="3B81C27D" w14:textId="2C97851E" w:rsidR="005365B9" w:rsidRPr="00772FE1" w:rsidRDefault="005365B9" w:rsidP="005365B9">
      <w:pPr>
        <w:ind w:left="851" w:hanging="851"/>
        <w:jc w:val="left"/>
        <w:rPr>
          <w:sz w:val="24"/>
          <w:szCs w:val="24"/>
        </w:rPr>
      </w:pPr>
      <w:r w:rsidRPr="003968A9">
        <w:rPr>
          <w:sz w:val="24"/>
          <w:szCs w:val="24"/>
        </w:rPr>
        <w:t>3.5.3.2</w:t>
      </w:r>
      <w:r w:rsidRPr="003968A9">
        <w:rPr>
          <w:sz w:val="24"/>
          <w:szCs w:val="24"/>
        </w:rPr>
        <w:tab/>
        <w:t>Council Dwelling rents – For 202</w:t>
      </w:r>
      <w:r w:rsidR="003968A9" w:rsidRPr="003968A9">
        <w:rPr>
          <w:sz w:val="24"/>
          <w:szCs w:val="24"/>
        </w:rPr>
        <w:t>1</w:t>
      </w:r>
      <w:r w:rsidRPr="003968A9">
        <w:rPr>
          <w:sz w:val="24"/>
          <w:szCs w:val="24"/>
        </w:rPr>
        <w:t>/2</w:t>
      </w:r>
      <w:r w:rsidR="003968A9" w:rsidRPr="003968A9">
        <w:rPr>
          <w:sz w:val="24"/>
          <w:szCs w:val="24"/>
        </w:rPr>
        <w:t>2</w:t>
      </w:r>
      <w:r w:rsidRPr="003968A9">
        <w:rPr>
          <w:sz w:val="24"/>
          <w:szCs w:val="24"/>
        </w:rPr>
        <w:t xml:space="preserve"> onwards the rent policy is CPIH plus 1%, and this has been assumed for future years.</w:t>
      </w:r>
    </w:p>
    <w:p w14:paraId="7C0F1025" w14:textId="77777777" w:rsidR="005365B9" w:rsidRPr="00772FE1" w:rsidRDefault="005365B9" w:rsidP="005365B9">
      <w:pPr>
        <w:ind w:left="851" w:hanging="851"/>
        <w:jc w:val="left"/>
        <w:rPr>
          <w:sz w:val="24"/>
          <w:szCs w:val="24"/>
        </w:rPr>
      </w:pPr>
    </w:p>
    <w:p w14:paraId="68EB5A5E" w14:textId="389D16C5" w:rsidR="005365B9" w:rsidRDefault="005365B9" w:rsidP="005365B9">
      <w:pPr>
        <w:ind w:left="851" w:hanging="851"/>
        <w:jc w:val="left"/>
        <w:rPr>
          <w:sz w:val="24"/>
          <w:szCs w:val="24"/>
        </w:rPr>
      </w:pPr>
      <w:r w:rsidRPr="00990FB6">
        <w:rPr>
          <w:sz w:val="24"/>
          <w:szCs w:val="24"/>
        </w:rPr>
        <w:lastRenderedPageBreak/>
        <w:t>3.5.3.3</w:t>
      </w:r>
      <w:r w:rsidRPr="00990FB6">
        <w:rPr>
          <w:sz w:val="24"/>
          <w:szCs w:val="24"/>
        </w:rPr>
        <w:tab/>
        <w:t>HRA specific fees and charges – Although the main source of income available to the H</w:t>
      </w:r>
      <w:r>
        <w:rPr>
          <w:sz w:val="24"/>
          <w:szCs w:val="24"/>
        </w:rPr>
        <w:t xml:space="preserve">ousing </w:t>
      </w:r>
      <w:r w:rsidRPr="00990FB6">
        <w:rPr>
          <w:sz w:val="24"/>
          <w:szCs w:val="24"/>
        </w:rPr>
        <w:t>R</w:t>
      </w:r>
      <w:r>
        <w:rPr>
          <w:sz w:val="24"/>
          <w:szCs w:val="24"/>
        </w:rPr>
        <w:t xml:space="preserve">evenue </w:t>
      </w:r>
      <w:r w:rsidRPr="00990FB6">
        <w:rPr>
          <w:sz w:val="24"/>
          <w:szCs w:val="24"/>
        </w:rPr>
        <w:t>A</w:t>
      </w:r>
      <w:r>
        <w:rPr>
          <w:sz w:val="24"/>
          <w:szCs w:val="24"/>
        </w:rPr>
        <w:t>ccount</w:t>
      </w:r>
      <w:r w:rsidRPr="00990FB6">
        <w:rPr>
          <w:sz w:val="24"/>
          <w:szCs w:val="24"/>
        </w:rPr>
        <w:t xml:space="preserve"> is dwelling rents, </w:t>
      </w:r>
      <w:r>
        <w:rPr>
          <w:sz w:val="24"/>
          <w:szCs w:val="24"/>
        </w:rPr>
        <w:t>it</w:t>
      </w:r>
      <w:r w:rsidRPr="00990FB6">
        <w:rPr>
          <w:sz w:val="24"/>
          <w:szCs w:val="24"/>
        </w:rPr>
        <w:t xml:space="preserve"> is also dependent for its</w:t>
      </w:r>
      <w:r>
        <w:rPr>
          <w:sz w:val="24"/>
          <w:szCs w:val="24"/>
        </w:rPr>
        <w:t xml:space="preserve"> financial sustainability on a range of other charges.  These charges are set on the principle that wherever possible the </w:t>
      </w:r>
      <w:r w:rsidRPr="00E33107">
        <w:rPr>
          <w:sz w:val="24"/>
          <w:szCs w:val="24"/>
        </w:rPr>
        <w:t>charge for the service should reflect the cost of providing those services.  Appendix</w:t>
      </w:r>
      <w:r w:rsidR="007432CC">
        <w:rPr>
          <w:sz w:val="24"/>
          <w:szCs w:val="24"/>
        </w:rPr>
        <w:t xml:space="preserve"> 10</w:t>
      </w:r>
      <w:r w:rsidR="00106DCF" w:rsidRPr="00E33107">
        <w:rPr>
          <w:sz w:val="24"/>
          <w:szCs w:val="24"/>
        </w:rPr>
        <w:t xml:space="preserve"> </w:t>
      </w:r>
      <w:r w:rsidRPr="00E33107">
        <w:rPr>
          <w:sz w:val="24"/>
          <w:szCs w:val="24"/>
        </w:rPr>
        <w:t>contains the fees and charges for the Hous</w:t>
      </w:r>
      <w:r w:rsidR="003968A9">
        <w:rPr>
          <w:sz w:val="24"/>
          <w:szCs w:val="24"/>
        </w:rPr>
        <w:t>ing Revenue Account for the 2021</w:t>
      </w:r>
      <w:r w:rsidRPr="00E33107">
        <w:rPr>
          <w:sz w:val="24"/>
          <w:szCs w:val="24"/>
        </w:rPr>
        <w:t>/2</w:t>
      </w:r>
      <w:r w:rsidR="003968A9">
        <w:rPr>
          <w:sz w:val="24"/>
          <w:szCs w:val="24"/>
        </w:rPr>
        <w:t>2</w:t>
      </w:r>
      <w:r w:rsidRPr="00E33107">
        <w:rPr>
          <w:sz w:val="24"/>
          <w:szCs w:val="24"/>
        </w:rPr>
        <w:t xml:space="preserve"> financial year.</w:t>
      </w:r>
    </w:p>
    <w:p w14:paraId="27F6BCF7" w14:textId="77777777" w:rsidR="005365B9" w:rsidRDefault="005365B9" w:rsidP="005365B9">
      <w:pPr>
        <w:ind w:left="851" w:hanging="851"/>
        <w:jc w:val="left"/>
        <w:rPr>
          <w:sz w:val="24"/>
          <w:szCs w:val="24"/>
        </w:rPr>
      </w:pPr>
    </w:p>
    <w:p w14:paraId="3FBC0A06" w14:textId="77777777" w:rsidR="005365B9" w:rsidRDefault="005365B9" w:rsidP="005365B9">
      <w:pPr>
        <w:ind w:left="851" w:hanging="851"/>
        <w:jc w:val="left"/>
        <w:rPr>
          <w:rFonts w:cs="Arial"/>
          <w:sz w:val="24"/>
          <w:szCs w:val="24"/>
        </w:rPr>
      </w:pPr>
      <w:r>
        <w:rPr>
          <w:rFonts w:cs="Arial"/>
          <w:sz w:val="24"/>
          <w:szCs w:val="24"/>
        </w:rPr>
        <w:t>3.5.3.4</w:t>
      </w:r>
      <w:r>
        <w:rPr>
          <w:rFonts w:cs="Arial"/>
          <w:sz w:val="24"/>
          <w:szCs w:val="24"/>
        </w:rPr>
        <w:tab/>
        <w:t>The fees and charges put forward have been used in calculating the proposed Housing Revenue Account budgets, changes to this would result also in changes to those budgets.</w:t>
      </w:r>
    </w:p>
    <w:p w14:paraId="2BD96E29" w14:textId="77777777" w:rsidR="005365B9" w:rsidRDefault="005365B9" w:rsidP="005365B9">
      <w:pPr>
        <w:ind w:left="851" w:hanging="851"/>
        <w:jc w:val="left"/>
        <w:rPr>
          <w:sz w:val="24"/>
          <w:szCs w:val="24"/>
        </w:rPr>
      </w:pPr>
    </w:p>
    <w:p w14:paraId="442A3616" w14:textId="10B84964" w:rsidR="005A0410" w:rsidRDefault="005A0410">
      <w:pPr>
        <w:jc w:val="left"/>
        <w:rPr>
          <w:b/>
          <w:sz w:val="24"/>
          <w:szCs w:val="24"/>
        </w:rPr>
      </w:pPr>
    </w:p>
    <w:p w14:paraId="2269CE8C" w14:textId="77777777" w:rsidR="00141AB6" w:rsidRPr="00656AD3" w:rsidRDefault="003D546F" w:rsidP="0073669D">
      <w:pPr>
        <w:ind w:left="851" w:hanging="851"/>
        <w:rPr>
          <w:b/>
          <w:sz w:val="24"/>
          <w:szCs w:val="24"/>
        </w:rPr>
      </w:pPr>
      <w:r w:rsidRPr="00656AD3">
        <w:rPr>
          <w:b/>
          <w:sz w:val="24"/>
          <w:szCs w:val="24"/>
        </w:rPr>
        <w:t>3.</w:t>
      </w:r>
      <w:r w:rsidR="00605755">
        <w:rPr>
          <w:b/>
          <w:sz w:val="24"/>
          <w:szCs w:val="24"/>
        </w:rPr>
        <w:t>5.</w:t>
      </w:r>
      <w:r w:rsidR="00DF553C">
        <w:rPr>
          <w:b/>
          <w:sz w:val="24"/>
          <w:szCs w:val="24"/>
        </w:rPr>
        <w:t>4</w:t>
      </w:r>
      <w:r w:rsidRPr="00656AD3">
        <w:rPr>
          <w:b/>
          <w:sz w:val="24"/>
          <w:szCs w:val="24"/>
        </w:rPr>
        <w:tab/>
      </w:r>
      <w:r w:rsidR="00141AB6" w:rsidRPr="00656AD3">
        <w:rPr>
          <w:b/>
          <w:sz w:val="24"/>
          <w:szCs w:val="24"/>
        </w:rPr>
        <w:t>Housing Revenue Account Reserves</w:t>
      </w:r>
    </w:p>
    <w:p w14:paraId="5025A18E" w14:textId="77777777" w:rsidR="00141AB6" w:rsidRPr="00656AD3" w:rsidRDefault="00141AB6" w:rsidP="0073669D">
      <w:pPr>
        <w:ind w:left="851" w:hanging="851"/>
        <w:jc w:val="left"/>
        <w:rPr>
          <w:sz w:val="24"/>
          <w:szCs w:val="24"/>
        </w:rPr>
      </w:pPr>
    </w:p>
    <w:p w14:paraId="4EB3B67A" w14:textId="0C482A7B" w:rsidR="0063699B" w:rsidRPr="00E33107" w:rsidRDefault="00245A2A" w:rsidP="0073669D">
      <w:pPr>
        <w:ind w:left="851" w:hanging="851"/>
        <w:jc w:val="left"/>
        <w:rPr>
          <w:sz w:val="24"/>
          <w:szCs w:val="24"/>
        </w:rPr>
      </w:pPr>
      <w:r w:rsidRPr="00656AD3">
        <w:rPr>
          <w:sz w:val="24"/>
          <w:szCs w:val="24"/>
        </w:rPr>
        <w:t>3.</w:t>
      </w:r>
      <w:r w:rsidR="00605755">
        <w:rPr>
          <w:sz w:val="24"/>
          <w:szCs w:val="24"/>
        </w:rPr>
        <w:t>5.</w:t>
      </w:r>
      <w:r w:rsidR="00DF553C">
        <w:rPr>
          <w:sz w:val="24"/>
          <w:szCs w:val="24"/>
        </w:rPr>
        <w:t>4</w:t>
      </w:r>
      <w:r w:rsidR="00605755">
        <w:rPr>
          <w:sz w:val="24"/>
          <w:szCs w:val="24"/>
        </w:rPr>
        <w:t>.1</w:t>
      </w:r>
      <w:r w:rsidR="00502549" w:rsidRPr="00656AD3">
        <w:rPr>
          <w:sz w:val="24"/>
          <w:szCs w:val="24"/>
        </w:rPr>
        <w:tab/>
      </w:r>
      <w:r w:rsidR="00141AB6" w:rsidRPr="00656AD3">
        <w:rPr>
          <w:sz w:val="24"/>
          <w:szCs w:val="24"/>
        </w:rPr>
        <w:t xml:space="preserve">At 31 March </w:t>
      </w:r>
      <w:r w:rsidR="008262C9" w:rsidRPr="00656AD3">
        <w:rPr>
          <w:sz w:val="24"/>
          <w:szCs w:val="24"/>
        </w:rPr>
        <w:t>20</w:t>
      </w:r>
      <w:r w:rsidR="003968A9">
        <w:rPr>
          <w:sz w:val="24"/>
          <w:szCs w:val="24"/>
        </w:rPr>
        <w:t>20</w:t>
      </w:r>
      <w:r w:rsidR="00141AB6" w:rsidRPr="00656AD3">
        <w:rPr>
          <w:sz w:val="24"/>
          <w:szCs w:val="24"/>
        </w:rPr>
        <w:t>, Housing Revenue Account Reserves stood at £</w:t>
      </w:r>
      <w:r w:rsidR="00330AA9" w:rsidRPr="00656AD3">
        <w:rPr>
          <w:sz w:val="24"/>
          <w:szCs w:val="24"/>
        </w:rPr>
        <w:t>2</w:t>
      </w:r>
      <w:r w:rsidR="003968A9">
        <w:rPr>
          <w:sz w:val="24"/>
          <w:szCs w:val="24"/>
        </w:rPr>
        <w:t>8</w:t>
      </w:r>
      <w:r w:rsidR="00BA484C">
        <w:rPr>
          <w:sz w:val="24"/>
          <w:szCs w:val="24"/>
        </w:rPr>
        <w:t>.</w:t>
      </w:r>
      <w:r w:rsidR="003968A9">
        <w:rPr>
          <w:sz w:val="24"/>
          <w:szCs w:val="24"/>
        </w:rPr>
        <w:t>538</w:t>
      </w:r>
      <w:r w:rsidR="00330AA9" w:rsidRPr="00656AD3">
        <w:rPr>
          <w:sz w:val="24"/>
          <w:szCs w:val="24"/>
        </w:rPr>
        <w:t>million</w:t>
      </w:r>
      <w:r w:rsidR="0063699B" w:rsidRPr="00656AD3">
        <w:rPr>
          <w:sz w:val="24"/>
          <w:szCs w:val="24"/>
        </w:rPr>
        <w:t>, of which £</w:t>
      </w:r>
      <w:r w:rsidR="00BA484C">
        <w:rPr>
          <w:sz w:val="24"/>
          <w:szCs w:val="24"/>
        </w:rPr>
        <w:t>2</w:t>
      </w:r>
      <w:r w:rsidR="003968A9">
        <w:rPr>
          <w:sz w:val="24"/>
          <w:szCs w:val="24"/>
        </w:rPr>
        <w:t>6.</w:t>
      </w:r>
      <w:r w:rsidR="00BA484C">
        <w:rPr>
          <w:sz w:val="24"/>
          <w:szCs w:val="24"/>
        </w:rPr>
        <w:t>7</w:t>
      </w:r>
      <w:r w:rsidR="003968A9">
        <w:rPr>
          <w:sz w:val="24"/>
          <w:szCs w:val="24"/>
        </w:rPr>
        <w:t>88</w:t>
      </w:r>
      <w:r w:rsidR="00F02F00" w:rsidRPr="00656AD3">
        <w:rPr>
          <w:sz w:val="24"/>
          <w:szCs w:val="24"/>
        </w:rPr>
        <w:t xml:space="preserve">million </w:t>
      </w:r>
      <w:r w:rsidR="0063699B" w:rsidRPr="00656AD3">
        <w:rPr>
          <w:sz w:val="24"/>
          <w:szCs w:val="24"/>
        </w:rPr>
        <w:t xml:space="preserve">has been committed towards future planned expenditure, as set out </w:t>
      </w:r>
      <w:r w:rsidR="0063699B" w:rsidRPr="00E33107">
        <w:rPr>
          <w:sz w:val="24"/>
          <w:szCs w:val="24"/>
        </w:rPr>
        <w:t xml:space="preserve">in Table </w:t>
      </w:r>
      <w:r w:rsidR="00755F99">
        <w:rPr>
          <w:sz w:val="24"/>
          <w:szCs w:val="24"/>
        </w:rPr>
        <w:t>2</w:t>
      </w:r>
      <w:r w:rsidR="0063699B" w:rsidRPr="00E33107">
        <w:rPr>
          <w:sz w:val="24"/>
          <w:szCs w:val="24"/>
        </w:rPr>
        <w:t xml:space="preserve"> below.</w:t>
      </w:r>
    </w:p>
    <w:p w14:paraId="5F6C43C1" w14:textId="77777777" w:rsidR="00A17C03" w:rsidRPr="00E33107" w:rsidRDefault="00A17C03" w:rsidP="0073669D">
      <w:pPr>
        <w:ind w:left="851" w:hanging="851"/>
        <w:jc w:val="left"/>
        <w:rPr>
          <w:sz w:val="24"/>
          <w:szCs w:val="24"/>
        </w:rPr>
      </w:pPr>
    </w:p>
    <w:p w14:paraId="05FC0CD2" w14:textId="480D6768" w:rsidR="000618FA" w:rsidRPr="00656AD3" w:rsidRDefault="0063699B" w:rsidP="0090496B">
      <w:pPr>
        <w:ind w:left="851" w:hanging="851"/>
        <w:jc w:val="center"/>
        <w:rPr>
          <w:sz w:val="24"/>
          <w:szCs w:val="24"/>
        </w:rPr>
      </w:pPr>
      <w:r w:rsidRPr="00E33107">
        <w:rPr>
          <w:sz w:val="24"/>
          <w:szCs w:val="24"/>
        </w:rPr>
        <w:t xml:space="preserve">Table </w:t>
      </w:r>
      <w:r w:rsidR="00755F99">
        <w:rPr>
          <w:sz w:val="24"/>
          <w:szCs w:val="24"/>
        </w:rPr>
        <w:t>2</w:t>
      </w:r>
    </w:p>
    <w:tbl>
      <w:tblPr>
        <w:tblW w:w="4340" w:type="dxa"/>
        <w:tblInd w:w="959" w:type="dxa"/>
        <w:tblLook w:val="04A0" w:firstRow="1" w:lastRow="0" w:firstColumn="1" w:lastColumn="0" w:noHBand="0" w:noVBand="1"/>
      </w:tblPr>
      <w:tblGrid>
        <w:gridCol w:w="3220"/>
        <w:gridCol w:w="1120"/>
      </w:tblGrid>
      <w:tr w:rsidR="00330AA9" w:rsidRPr="00656AD3" w14:paraId="4BBC0278" w14:textId="77777777" w:rsidTr="00FC1B36">
        <w:trPr>
          <w:trHeight w:val="300"/>
        </w:trPr>
        <w:tc>
          <w:tcPr>
            <w:tcW w:w="3220" w:type="dxa"/>
            <w:tcBorders>
              <w:top w:val="single" w:sz="4" w:space="0" w:color="auto"/>
              <w:left w:val="nil"/>
              <w:bottom w:val="single" w:sz="4" w:space="0" w:color="auto"/>
              <w:right w:val="nil"/>
            </w:tcBorders>
            <w:shd w:val="clear" w:color="auto" w:fill="auto"/>
            <w:noWrap/>
            <w:hideMark/>
          </w:tcPr>
          <w:p w14:paraId="31848E23" w14:textId="77777777" w:rsidR="00330AA9" w:rsidRPr="00656AD3" w:rsidRDefault="00330AA9" w:rsidP="0073669D">
            <w:pPr>
              <w:ind w:left="851" w:hanging="851"/>
              <w:jc w:val="left"/>
              <w:rPr>
                <w:rFonts w:cs="Arial"/>
                <w:color w:val="000000"/>
                <w:sz w:val="24"/>
                <w:szCs w:val="24"/>
              </w:rPr>
            </w:pPr>
            <w:r w:rsidRPr="00656AD3">
              <w:rPr>
                <w:rFonts w:cs="Arial"/>
                <w:color w:val="000000"/>
                <w:sz w:val="24"/>
                <w:szCs w:val="24"/>
              </w:rPr>
              <w:t> </w:t>
            </w:r>
          </w:p>
        </w:tc>
        <w:tc>
          <w:tcPr>
            <w:tcW w:w="1120" w:type="dxa"/>
            <w:tcBorders>
              <w:top w:val="single" w:sz="4" w:space="0" w:color="auto"/>
              <w:left w:val="nil"/>
              <w:bottom w:val="single" w:sz="4" w:space="0" w:color="auto"/>
              <w:right w:val="nil"/>
            </w:tcBorders>
            <w:shd w:val="clear" w:color="auto" w:fill="auto"/>
            <w:noWrap/>
            <w:hideMark/>
          </w:tcPr>
          <w:p w14:paraId="454D90E2" w14:textId="77777777" w:rsidR="00330AA9" w:rsidRPr="00656AD3" w:rsidRDefault="00330AA9" w:rsidP="0073669D">
            <w:pPr>
              <w:ind w:left="851" w:hanging="851"/>
              <w:jc w:val="center"/>
              <w:rPr>
                <w:rFonts w:cs="Arial"/>
                <w:color w:val="000000"/>
                <w:sz w:val="24"/>
                <w:szCs w:val="24"/>
              </w:rPr>
            </w:pPr>
            <w:r w:rsidRPr="00656AD3">
              <w:rPr>
                <w:rFonts w:cs="Arial"/>
                <w:color w:val="000000"/>
                <w:sz w:val="24"/>
                <w:szCs w:val="24"/>
              </w:rPr>
              <w:t>£000</w:t>
            </w:r>
          </w:p>
        </w:tc>
      </w:tr>
      <w:tr w:rsidR="00330AA9" w:rsidRPr="00656AD3" w14:paraId="1DEDCC82" w14:textId="77777777" w:rsidTr="00FC1B36">
        <w:trPr>
          <w:trHeight w:val="300"/>
        </w:trPr>
        <w:tc>
          <w:tcPr>
            <w:tcW w:w="3220" w:type="dxa"/>
            <w:tcBorders>
              <w:top w:val="nil"/>
              <w:left w:val="nil"/>
              <w:bottom w:val="nil"/>
              <w:right w:val="nil"/>
            </w:tcBorders>
            <w:shd w:val="clear" w:color="auto" w:fill="auto"/>
            <w:noWrap/>
            <w:hideMark/>
          </w:tcPr>
          <w:p w14:paraId="06B7A3AB" w14:textId="77777777" w:rsidR="00330AA9" w:rsidRPr="00656AD3" w:rsidRDefault="00330AA9" w:rsidP="0073669D">
            <w:pPr>
              <w:ind w:left="851" w:hanging="851"/>
              <w:jc w:val="left"/>
              <w:rPr>
                <w:rFonts w:cs="Arial"/>
                <w:color w:val="000000"/>
                <w:sz w:val="24"/>
                <w:szCs w:val="24"/>
              </w:rPr>
            </w:pPr>
            <w:r w:rsidRPr="00656AD3">
              <w:rPr>
                <w:rFonts w:cs="Arial"/>
                <w:color w:val="000000"/>
                <w:sz w:val="24"/>
                <w:szCs w:val="24"/>
              </w:rPr>
              <w:t>To repay future HRA loans</w:t>
            </w:r>
          </w:p>
        </w:tc>
        <w:tc>
          <w:tcPr>
            <w:tcW w:w="1120" w:type="dxa"/>
            <w:tcBorders>
              <w:top w:val="nil"/>
              <w:left w:val="nil"/>
              <w:bottom w:val="nil"/>
              <w:right w:val="nil"/>
            </w:tcBorders>
            <w:shd w:val="clear" w:color="auto" w:fill="auto"/>
            <w:noWrap/>
            <w:hideMark/>
          </w:tcPr>
          <w:p w14:paraId="4E0E8414" w14:textId="0CD35AE3" w:rsidR="00330AA9" w:rsidRPr="00656AD3" w:rsidRDefault="003968A9" w:rsidP="00D56060">
            <w:pPr>
              <w:ind w:left="851" w:hanging="851"/>
              <w:jc w:val="center"/>
              <w:rPr>
                <w:rFonts w:cs="Arial"/>
                <w:color w:val="000000"/>
                <w:sz w:val="24"/>
                <w:szCs w:val="24"/>
              </w:rPr>
            </w:pPr>
            <w:r>
              <w:rPr>
                <w:rFonts w:cs="Arial"/>
                <w:color w:val="000000"/>
                <w:sz w:val="24"/>
                <w:szCs w:val="24"/>
              </w:rPr>
              <w:t>19,704</w:t>
            </w:r>
          </w:p>
        </w:tc>
      </w:tr>
      <w:tr w:rsidR="003968A9" w:rsidRPr="00656AD3" w14:paraId="4EFE8D11" w14:textId="77777777" w:rsidTr="00FC1B36">
        <w:trPr>
          <w:trHeight w:val="300"/>
        </w:trPr>
        <w:tc>
          <w:tcPr>
            <w:tcW w:w="3220" w:type="dxa"/>
            <w:tcBorders>
              <w:top w:val="nil"/>
              <w:left w:val="nil"/>
              <w:bottom w:val="nil"/>
              <w:right w:val="nil"/>
            </w:tcBorders>
            <w:shd w:val="clear" w:color="auto" w:fill="auto"/>
            <w:noWrap/>
          </w:tcPr>
          <w:p w14:paraId="072BC27D" w14:textId="7CDF710C" w:rsidR="003968A9" w:rsidRPr="00656AD3" w:rsidRDefault="003968A9" w:rsidP="0073669D">
            <w:pPr>
              <w:ind w:left="851" w:hanging="851"/>
              <w:jc w:val="left"/>
              <w:rPr>
                <w:rFonts w:cs="Arial"/>
                <w:color w:val="000000"/>
                <w:sz w:val="24"/>
                <w:szCs w:val="24"/>
              </w:rPr>
            </w:pPr>
            <w:r>
              <w:rPr>
                <w:rFonts w:cs="Arial"/>
                <w:color w:val="000000"/>
                <w:sz w:val="24"/>
                <w:szCs w:val="24"/>
              </w:rPr>
              <w:t>New Build Reserve</w:t>
            </w:r>
          </w:p>
        </w:tc>
        <w:tc>
          <w:tcPr>
            <w:tcW w:w="1120" w:type="dxa"/>
            <w:tcBorders>
              <w:top w:val="nil"/>
              <w:left w:val="nil"/>
              <w:bottom w:val="nil"/>
              <w:right w:val="nil"/>
            </w:tcBorders>
            <w:shd w:val="clear" w:color="auto" w:fill="auto"/>
            <w:noWrap/>
          </w:tcPr>
          <w:p w14:paraId="34D0F2C7" w14:textId="44CF962B" w:rsidR="003968A9" w:rsidRDefault="003968A9" w:rsidP="00D56060">
            <w:pPr>
              <w:ind w:left="851" w:hanging="851"/>
              <w:jc w:val="center"/>
              <w:rPr>
                <w:rFonts w:cs="Arial"/>
                <w:color w:val="000000"/>
                <w:sz w:val="24"/>
                <w:szCs w:val="24"/>
              </w:rPr>
            </w:pPr>
            <w:r>
              <w:rPr>
                <w:rFonts w:cs="Arial"/>
                <w:color w:val="000000"/>
                <w:sz w:val="24"/>
                <w:szCs w:val="24"/>
              </w:rPr>
              <w:t>6,358</w:t>
            </w:r>
          </w:p>
        </w:tc>
      </w:tr>
      <w:tr w:rsidR="00330AA9" w:rsidRPr="00656AD3" w14:paraId="6AEDD381" w14:textId="77777777" w:rsidTr="00FC1B36">
        <w:trPr>
          <w:trHeight w:val="300"/>
        </w:trPr>
        <w:tc>
          <w:tcPr>
            <w:tcW w:w="3220" w:type="dxa"/>
            <w:tcBorders>
              <w:top w:val="nil"/>
              <w:left w:val="nil"/>
              <w:bottom w:val="nil"/>
              <w:right w:val="nil"/>
            </w:tcBorders>
            <w:shd w:val="clear" w:color="auto" w:fill="auto"/>
            <w:noWrap/>
            <w:hideMark/>
          </w:tcPr>
          <w:p w14:paraId="46CB5784" w14:textId="77777777" w:rsidR="00330AA9" w:rsidRPr="00656AD3" w:rsidRDefault="00330AA9" w:rsidP="0073669D">
            <w:pPr>
              <w:ind w:left="851" w:hanging="851"/>
              <w:jc w:val="left"/>
              <w:rPr>
                <w:rFonts w:cs="Arial"/>
                <w:color w:val="000000"/>
                <w:sz w:val="24"/>
                <w:szCs w:val="24"/>
              </w:rPr>
            </w:pPr>
            <w:r w:rsidRPr="00656AD3">
              <w:rPr>
                <w:rFonts w:cs="Arial"/>
                <w:color w:val="000000"/>
                <w:sz w:val="24"/>
                <w:szCs w:val="24"/>
              </w:rPr>
              <w:t>Grant Carry Forwards</w:t>
            </w:r>
          </w:p>
        </w:tc>
        <w:tc>
          <w:tcPr>
            <w:tcW w:w="1120" w:type="dxa"/>
            <w:tcBorders>
              <w:top w:val="nil"/>
              <w:left w:val="nil"/>
              <w:bottom w:val="nil"/>
              <w:right w:val="nil"/>
            </w:tcBorders>
            <w:shd w:val="clear" w:color="auto" w:fill="auto"/>
            <w:noWrap/>
            <w:hideMark/>
          </w:tcPr>
          <w:p w14:paraId="01E936F4" w14:textId="2A8B7A1A" w:rsidR="00330AA9" w:rsidRPr="00656AD3" w:rsidRDefault="003968A9" w:rsidP="00D56060">
            <w:pPr>
              <w:ind w:left="851" w:hanging="851"/>
              <w:jc w:val="center"/>
              <w:rPr>
                <w:rFonts w:cs="Arial"/>
                <w:color w:val="000000"/>
                <w:sz w:val="24"/>
                <w:szCs w:val="24"/>
              </w:rPr>
            </w:pPr>
            <w:r>
              <w:rPr>
                <w:rFonts w:cs="Arial"/>
                <w:color w:val="000000"/>
                <w:sz w:val="24"/>
                <w:szCs w:val="24"/>
              </w:rPr>
              <w:t>148</w:t>
            </w:r>
          </w:p>
        </w:tc>
      </w:tr>
      <w:tr w:rsidR="00330AA9" w:rsidRPr="00656AD3" w14:paraId="0C8576F2" w14:textId="77777777" w:rsidTr="00FC1B36">
        <w:trPr>
          <w:trHeight w:val="300"/>
        </w:trPr>
        <w:tc>
          <w:tcPr>
            <w:tcW w:w="3220" w:type="dxa"/>
            <w:tcBorders>
              <w:top w:val="nil"/>
              <w:left w:val="nil"/>
              <w:bottom w:val="nil"/>
              <w:right w:val="nil"/>
            </w:tcBorders>
            <w:shd w:val="clear" w:color="auto" w:fill="auto"/>
            <w:noWrap/>
            <w:hideMark/>
          </w:tcPr>
          <w:p w14:paraId="40D7E3CB" w14:textId="04DAD015" w:rsidR="00330AA9" w:rsidRPr="00656AD3" w:rsidRDefault="003968A9" w:rsidP="003968A9">
            <w:pPr>
              <w:ind w:left="851" w:hanging="851"/>
              <w:jc w:val="left"/>
              <w:rPr>
                <w:rFonts w:cs="Arial"/>
                <w:color w:val="000000"/>
                <w:sz w:val="24"/>
                <w:szCs w:val="24"/>
              </w:rPr>
            </w:pPr>
            <w:r>
              <w:rPr>
                <w:rFonts w:cs="Arial"/>
                <w:color w:val="000000"/>
                <w:sz w:val="24"/>
                <w:szCs w:val="24"/>
              </w:rPr>
              <w:t>Redundancy Reserve</w:t>
            </w:r>
          </w:p>
        </w:tc>
        <w:tc>
          <w:tcPr>
            <w:tcW w:w="1120" w:type="dxa"/>
            <w:tcBorders>
              <w:top w:val="nil"/>
              <w:left w:val="nil"/>
              <w:bottom w:val="single" w:sz="4" w:space="0" w:color="auto"/>
              <w:right w:val="nil"/>
            </w:tcBorders>
            <w:shd w:val="clear" w:color="auto" w:fill="auto"/>
            <w:noWrap/>
            <w:hideMark/>
          </w:tcPr>
          <w:p w14:paraId="354AAAC1" w14:textId="77777777" w:rsidR="00330AA9" w:rsidRPr="00656AD3" w:rsidRDefault="00BA484C" w:rsidP="00D56060">
            <w:pPr>
              <w:ind w:left="851" w:hanging="851"/>
              <w:jc w:val="center"/>
              <w:rPr>
                <w:rFonts w:cs="Arial"/>
                <w:color w:val="000000"/>
                <w:sz w:val="24"/>
                <w:szCs w:val="24"/>
              </w:rPr>
            </w:pPr>
            <w:r>
              <w:rPr>
                <w:rFonts w:cs="Arial"/>
                <w:color w:val="000000"/>
                <w:sz w:val="24"/>
                <w:szCs w:val="24"/>
              </w:rPr>
              <w:t>578</w:t>
            </w:r>
          </w:p>
        </w:tc>
      </w:tr>
      <w:tr w:rsidR="00330AA9" w:rsidRPr="00656AD3" w14:paraId="7870657C" w14:textId="77777777" w:rsidTr="00FC1B36">
        <w:trPr>
          <w:trHeight w:val="300"/>
        </w:trPr>
        <w:tc>
          <w:tcPr>
            <w:tcW w:w="3220" w:type="dxa"/>
            <w:tcBorders>
              <w:top w:val="nil"/>
              <w:left w:val="nil"/>
              <w:bottom w:val="nil"/>
              <w:right w:val="nil"/>
            </w:tcBorders>
            <w:shd w:val="clear" w:color="auto" w:fill="auto"/>
            <w:noWrap/>
            <w:hideMark/>
          </w:tcPr>
          <w:p w14:paraId="7730EAAB" w14:textId="77777777" w:rsidR="00330AA9" w:rsidRPr="00656AD3" w:rsidRDefault="00330AA9" w:rsidP="0073669D">
            <w:pPr>
              <w:ind w:left="851" w:hanging="851"/>
              <w:jc w:val="left"/>
              <w:rPr>
                <w:rFonts w:cs="Arial"/>
                <w:color w:val="000000"/>
                <w:sz w:val="24"/>
                <w:szCs w:val="24"/>
              </w:rPr>
            </w:pPr>
            <w:r w:rsidRPr="00656AD3">
              <w:rPr>
                <w:rFonts w:cs="Arial"/>
                <w:color w:val="000000"/>
                <w:sz w:val="24"/>
                <w:szCs w:val="24"/>
              </w:rPr>
              <w:t>Total</w:t>
            </w:r>
          </w:p>
        </w:tc>
        <w:tc>
          <w:tcPr>
            <w:tcW w:w="1120" w:type="dxa"/>
            <w:tcBorders>
              <w:top w:val="nil"/>
              <w:left w:val="nil"/>
              <w:bottom w:val="nil"/>
              <w:right w:val="nil"/>
            </w:tcBorders>
            <w:shd w:val="clear" w:color="auto" w:fill="auto"/>
            <w:noWrap/>
            <w:hideMark/>
          </w:tcPr>
          <w:p w14:paraId="2AA78A46" w14:textId="3CDE9E8C" w:rsidR="00330AA9" w:rsidRPr="00656AD3" w:rsidRDefault="00BA484C" w:rsidP="00D56060">
            <w:pPr>
              <w:ind w:left="851" w:hanging="851"/>
              <w:jc w:val="center"/>
              <w:rPr>
                <w:rFonts w:cs="Arial"/>
                <w:color w:val="000000"/>
                <w:sz w:val="24"/>
                <w:szCs w:val="24"/>
              </w:rPr>
            </w:pPr>
            <w:r>
              <w:rPr>
                <w:rFonts w:cs="Arial"/>
                <w:color w:val="000000"/>
                <w:sz w:val="24"/>
                <w:szCs w:val="24"/>
              </w:rPr>
              <w:t>2</w:t>
            </w:r>
            <w:r w:rsidR="003968A9">
              <w:rPr>
                <w:rFonts w:cs="Arial"/>
                <w:color w:val="000000"/>
                <w:sz w:val="24"/>
                <w:szCs w:val="24"/>
              </w:rPr>
              <w:t>6</w:t>
            </w:r>
            <w:r>
              <w:rPr>
                <w:rFonts w:cs="Arial"/>
                <w:color w:val="000000"/>
                <w:sz w:val="24"/>
                <w:szCs w:val="24"/>
              </w:rPr>
              <w:t>,</w:t>
            </w:r>
            <w:r w:rsidR="003968A9">
              <w:rPr>
                <w:rFonts w:cs="Arial"/>
                <w:color w:val="000000"/>
                <w:sz w:val="24"/>
                <w:szCs w:val="24"/>
              </w:rPr>
              <w:t>788</w:t>
            </w:r>
          </w:p>
        </w:tc>
      </w:tr>
    </w:tbl>
    <w:p w14:paraId="0AF23FE2" w14:textId="77777777" w:rsidR="00330AA9" w:rsidRPr="00656AD3" w:rsidRDefault="00330AA9" w:rsidP="0073669D">
      <w:pPr>
        <w:ind w:left="851" w:hanging="851"/>
        <w:jc w:val="center"/>
        <w:outlineLvl w:val="0"/>
        <w:rPr>
          <w:sz w:val="24"/>
          <w:szCs w:val="24"/>
        </w:rPr>
      </w:pPr>
    </w:p>
    <w:p w14:paraId="0A898211" w14:textId="77777777" w:rsidR="00141AB6" w:rsidRPr="00656AD3" w:rsidRDefault="00141AB6" w:rsidP="0073669D">
      <w:pPr>
        <w:ind w:left="851" w:hanging="851"/>
        <w:jc w:val="left"/>
        <w:rPr>
          <w:sz w:val="24"/>
          <w:szCs w:val="24"/>
        </w:rPr>
      </w:pPr>
    </w:p>
    <w:p w14:paraId="584F8C28" w14:textId="04266361" w:rsidR="00141AB6" w:rsidRPr="00656AD3" w:rsidRDefault="00245A2A" w:rsidP="0073669D">
      <w:pPr>
        <w:ind w:left="851" w:hanging="851"/>
        <w:jc w:val="left"/>
        <w:rPr>
          <w:sz w:val="24"/>
          <w:szCs w:val="24"/>
        </w:rPr>
      </w:pPr>
      <w:r w:rsidRPr="00656AD3">
        <w:rPr>
          <w:sz w:val="24"/>
          <w:szCs w:val="24"/>
        </w:rPr>
        <w:t>3.</w:t>
      </w:r>
      <w:r w:rsidR="00605755">
        <w:rPr>
          <w:sz w:val="24"/>
          <w:szCs w:val="24"/>
        </w:rPr>
        <w:t>5.</w:t>
      </w:r>
      <w:r w:rsidR="00DF553C">
        <w:rPr>
          <w:sz w:val="24"/>
          <w:szCs w:val="24"/>
        </w:rPr>
        <w:t>4</w:t>
      </w:r>
      <w:r w:rsidR="00605755">
        <w:rPr>
          <w:sz w:val="24"/>
          <w:szCs w:val="24"/>
        </w:rPr>
        <w:t>.2</w:t>
      </w:r>
      <w:r w:rsidR="00502549" w:rsidRPr="00656AD3">
        <w:rPr>
          <w:sz w:val="24"/>
          <w:szCs w:val="24"/>
        </w:rPr>
        <w:tab/>
      </w:r>
      <w:r w:rsidR="0063699B" w:rsidRPr="00656AD3">
        <w:rPr>
          <w:sz w:val="24"/>
          <w:szCs w:val="24"/>
        </w:rPr>
        <w:t>This leaves an unallocated balance of £</w:t>
      </w:r>
      <w:r w:rsidR="003968A9">
        <w:rPr>
          <w:sz w:val="24"/>
          <w:szCs w:val="24"/>
        </w:rPr>
        <w:t>1.750</w:t>
      </w:r>
      <w:r w:rsidR="00176EE1" w:rsidRPr="00656AD3">
        <w:rPr>
          <w:sz w:val="24"/>
          <w:szCs w:val="24"/>
        </w:rPr>
        <w:t>million</w:t>
      </w:r>
      <w:r w:rsidR="003968A9">
        <w:rPr>
          <w:sz w:val="24"/>
          <w:szCs w:val="24"/>
        </w:rPr>
        <w:t xml:space="preserve">, which is </w:t>
      </w:r>
      <w:r w:rsidR="00BA484C">
        <w:rPr>
          <w:sz w:val="24"/>
          <w:szCs w:val="24"/>
        </w:rPr>
        <w:t>the minimum level of balances requ</w:t>
      </w:r>
      <w:r w:rsidR="003968A9">
        <w:rPr>
          <w:sz w:val="24"/>
          <w:szCs w:val="24"/>
        </w:rPr>
        <w:t>ired for the HRA.</w:t>
      </w:r>
    </w:p>
    <w:p w14:paraId="7EC0CD65" w14:textId="77777777" w:rsidR="00206E68" w:rsidRDefault="00206E68" w:rsidP="0073669D">
      <w:pPr>
        <w:ind w:left="851" w:hanging="851"/>
        <w:jc w:val="left"/>
        <w:rPr>
          <w:sz w:val="24"/>
          <w:szCs w:val="24"/>
        </w:rPr>
      </w:pPr>
    </w:p>
    <w:p w14:paraId="459486FD" w14:textId="77777777" w:rsidR="00206E68" w:rsidRDefault="00206E68" w:rsidP="0073669D">
      <w:pPr>
        <w:ind w:left="851" w:hanging="851"/>
        <w:jc w:val="left"/>
        <w:rPr>
          <w:sz w:val="24"/>
          <w:szCs w:val="24"/>
        </w:rPr>
      </w:pPr>
    </w:p>
    <w:p w14:paraId="6E0B75F1" w14:textId="73F1885D" w:rsidR="00206E68" w:rsidRPr="0083536B" w:rsidRDefault="00605755" w:rsidP="006647A6">
      <w:pPr>
        <w:ind w:left="851" w:hanging="851"/>
        <w:jc w:val="left"/>
        <w:rPr>
          <w:b/>
          <w:sz w:val="24"/>
          <w:szCs w:val="24"/>
        </w:rPr>
      </w:pPr>
      <w:r>
        <w:rPr>
          <w:b/>
          <w:sz w:val="24"/>
          <w:szCs w:val="24"/>
        </w:rPr>
        <w:t>3.</w:t>
      </w:r>
      <w:r w:rsidR="0017654C">
        <w:rPr>
          <w:b/>
          <w:sz w:val="24"/>
          <w:szCs w:val="24"/>
        </w:rPr>
        <w:t>6</w:t>
      </w:r>
      <w:r>
        <w:rPr>
          <w:b/>
          <w:sz w:val="24"/>
          <w:szCs w:val="24"/>
        </w:rPr>
        <w:tab/>
      </w:r>
      <w:r w:rsidR="00206E68" w:rsidRPr="0083536B">
        <w:rPr>
          <w:b/>
          <w:sz w:val="24"/>
          <w:szCs w:val="24"/>
        </w:rPr>
        <w:t>Capital Programme</w:t>
      </w:r>
    </w:p>
    <w:p w14:paraId="48B89D2E" w14:textId="77777777" w:rsidR="00206E68" w:rsidRDefault="00206E68" w:rsidP="006647A6">
      <w:pPr>
        <w:ind w:left="851" w:hanging="851"/>
        <w:jc w:val="left"/>
        <w:rPr>
          <w:sz w:val="24"/>
          <w:szCs w:val="24"/>
        </w:rPr>
      </w:pPr>
    </w:p>
    <w:p w14:paraId="6D72C6A6" w14:textId="29FC2191" w:rsidR="00BC160C" w:rsidRPr="00844390" w:rsidRDefault="00BC160C" w:rsidP="006647A6">
      <w:pPr>
        <w:ind w:left="851" w:hanging="851"/>
        <w:jc w:val="left"/>
        <w:rPr>
          <w:rFonts w:cs="Arial"/>
          <w:sz w:val="24"/>
          <w:szCs w:val="24"/>
        </w:rPr>
      </w:pPr>
      <w:r w:rsidRPr="00C524BA">
        <w:rPr>
          <w:rFonts w:cs="Arial"/>
          <w:sz w:val="24"/>
          <w:szCs w:val="24"/>
        </w:rPr>
        <w:t>3.</w:t>
      </w:r>
      <w:r w:rsidR="0017654C">
        <w:rPr>
          <w:rFonts w:cs="Arial"/>
          <w:sz w:val="24"/>
          <w:szCs w:val="24"/>
        </w:rPr>
        <w:t>6</w:t>
      </w:r>
      <w:r>
        <w:rPr>
          <w:rFonts w:cs="Arial"/>
          <w:sz w:val="24"/>
          <w:szCs w:val="24"/>
        </w:rPr>
        <w:t>.1</w:t>
      </w:r>
      <w:r w:rsidRPr="00C524BA">
        <w:rPr>
          <w:rFonts w:cs="Arial"/>
          <w:sz w:val="24"/>
          <w:szCs w:val="24"/>
        </w:rPr>
        <w:tab/>
      </w:r>
      <w:r w:rsidRPr="004770E9">
        <w:rPr>
          <w:rFonts w:cs="Arial"/>
          <w:sz w:val="24"/>
          <w:szCs w:val="24"/>
        </w:rPr>
        <w:t xml:space="preserve">Council approved the </w:t>
      </w:r>
      <w:r>
        <w:rPr>
          <w:rFonts w:cs="Arial"/>
          <w:sz w:val="24"/>
          <w:szCs w:val="24"/>
        </w:rPr>
        <w:t xml:space="preserve">existing </w:t>
      </w:r>
      <w:r w:rsidRPr="004770E9">
        <w:rPr>
          <w:rFonts w:cs="Arial"/>
          <w:sz w:val="24"/>
          <w:szCs w:val="24"/>
        </w:rPr>
        <w:t>Co</w:t>
      </w:r>
      <w:r w:rsidR="003968A9">
        <w:rPr>
          <w:rFonts w:cs="Arial"/>
          <w:sz w:val="24"/>
          <w:szCs w:val="24"/>
        </w:rPr>
        <w:t>nsolidated Capital Programme 2020</w:t>
      </w:r>
      <w:r w:rsidRPr="004770E9">
        <w:rPr>
          <w:rFonts w:cs="Arial"/>
          <w:sz w:val="24"/>
          <w:szCs w:val="24"/>
        </w:rPr>
        <w:t>/2</w:t>
      </w:r>
      <w:r w:rsidR="003968A9">
        <w:rPr>
          <w:rFonts w:cs="Arial"/>
          <w:sz w:val="24"/>
          <w:szCs w:val="24"/>
        </w:rPr>
        <w:t>1</w:t>
      </w:r>
      <w:r>
        <w:rPr>
          <w:rFonts w:cs="Arial"/>
          <w:sz w:val="24"/>
          <w:szCs w:val="24"/>
        </w:rPr>
        <w:t xml:space="preserve"> to </w:t>
      </w:r>
      <w:r w:rsidRPr="004770E9">
        <w:rPr>
          <w:rFonts w:cs="Arial"/>
          <w:sz w:val="24"/>
          <w:szCs w:val="24"/>
        </w:rPr>
        <w:t>20</w:t>
      </w:r>
      <w:r>
        <w:rPr>
          <w:rFonts w:cs="Arial"/>
          <w:sz w:val="24"/>
          <w:szCs w:val="24"/>
        </w:rPr>
        <w:t>22</w:t>
      </w:r>
      <w:r w:rsidRPr="004770E9">
        <w:rPr>
          <w:rFonts w:cs="Arial"/>
          <w:sz w:val="24"/>
          <w:szCs w:val="24"/>
        </w:rPr>
        <w:t>/</w:t>
      </w:r>
      <w:r>
        <w:rPr>
          <w:rFonts w:cs="Arial"/>
          <w:sz w:val="24"/>
          <w:szCs w:val="24"/>
        </w:rPr>
        <w:t xml:space="preserve">23 </w:t>
      </w:r>
      <w:r w:rsidRPr="00942FD6">
        <w:rPr>
          <w:rFonts w:cs="Arial"/>
          <w:sz w:val="24"/>
          <w:szCs w:val="24"/>
        </w:rPr>
        <w:t>on the 2</w:t>
      </w:r>
      <w:r w:rsidR="003968A9">
        <w:rPr>
          <w:rFonts w:cs="Arial"/>
          <w:sz w:val="24"/>
          <w:szCs w:val="24"/>
        </w:rPr>
        <w:t>2</w:t>
      </w:r>
      <w:r w:rsidRPr="00942FD6">
        <w:rPr>
          <w:rFonts w:cs="Arial"/>
          <w:sz w:val="24"/>
          <w:szCs w:val="24"/>
        </w:rPr>
        <w:t xml:space="preserve"> January 20</w:t>
      </w:r>
      <w:r w:rsidR="003968A9">
        <w:rPr>
          <w:rFonts w:cs="Arial"/>
          <w:sz w:val="24"/>
          <w:szCs w:val="24"/>
        </w:rPr>
        <w:t>20</w:t>
      </w:r>
      <w:r w:rsidR="00C872B0">
        <w:rPr>
          <w:rFonts w:cs="Arial"/>
          <w:sz w:val="24"/>
          <w:szCs w:val="24"/>
        </w:rPr>
        <w:t>.T</w:t>
      </w:r>
      <w:r w:rsidRPr="00803F1C">
        <w:rPr>
          <w:rFonts w:cs="Arial"/>
          <w:sz w:val="24"/>
          <w:szCs w:val="24"/>
        </w:rPr>
        <w:t xml:space="preserve">he resources available to finance the Consolidated Capital Programme were </w:t>
      </w:r>
      <w:r w:rsidR="003F2683">
        <w:rPr>
          <w:rFonts w:cs="Arial"/>
          <w:sz w:val="24"/>
          <w:szCs w:val="24"/>
        </w:rPr>
        <w:t xml:space="preserve">also </w:t>
      </w:r>
      <w:r w:rsidRPr="00803F1C">
        <w:rPr>
          <w:rFonts w:cs="Arial"/>
          <w:sz w:val="24"/>
          <w:szCs w:val="24"/>
        </w:rPr>
        <w:t xml:space="preserve">assessed as part of the </w:t>
      </w:r>
      <w:r>
        <w:rPr>
          <w:rFonts w:cs="Arial"/>
          <w:sz w:val="24"/>
          <w:szCs w:val="24"/>
        </w:rPr>
        <w:t xml:space="preserve">budget setting process. </w:t>
      </w:r>
      <w:r w:rsidRPr="003C69B7">
        <w:rPr>
          <w:rFonts w:cs="Arial"/>
          <w:sz w:val="24"/>
          <w:szCs w:val="24"/>
        </w:rPr>
        <w:t xml:space="preserve">Further reports </w:t>
      </w:r>
      <w:r w:rsidRPr="003C69B7">
        <w:rPr>
          <w:rFonts w:cs="Arial"/>
          <w:sz w:val="24"/>
          <w:szCs w:val="24"/>
        </w:rPr>
        <w:lastRenderedPageBreak/>
        <w:t>have been approved since then which have increased the capital programme by adding new schemes.  In</w:t>
      </w:r>
      <w:r>
        <w:rPr>
          <w:rFonts w:cs="Arial"/>
          <w:sz w:val="24"/>
          <w:szCs w:val="24"/>
        </w:rPr>
        <w:t xml:space="preserve"> addition there have been carry forwards from the 20</w:t>
      </w:r>
      <w:r w:rsidR="003968A9">
        <w:rPr>
          <w:rFonts w:cs="Arial"/>
          <w:sz w:val="24"/>
          <w:szCs w:val="24"/>
        </w:rPr>
        <w:t>19</w:t>
      </w:r>
      <w:r>
        <w:rPr>
          <w:rFonts w:cs="Arial"/>
          <w:sz w:val="24"/>
          <w:szCs w:val="24"/>
        </w:rPr>
        <w:t>/20 capital programme.</w:t>
      </w:r>
      <w:r w:rsidR="00E22B8A">
        <w:rPr>
          <w:rFonts w:cs="Arial"/>
          <w:sz w:val="24"/>
          <w:szCs w:val="24"/>
        </w:rPr>
        <w:t xml:space="preserve">  Any subsequent reports that are approved </w:t>
      </w:r>
      <w:r w:rsidR="003968A9">
        <w:rPr>
          <w:rFonts w:cs="Arial"/>
          <w:sz w:val="24"/>
          <w:szCs w:val="24"/>
        </w:rPr>
        <w:t>prior to the Council meeting on</w:t>
      </w:r>
      <w:r w:rsidR="003F2683">
        <w:rPr>
          <w:rFonts w:cs="Arial"/>
          <w:sz w:val="24"/>
          <w:szCs w:val="24"/>
        </w:rPr>
        <w:t xml:space="preserve"> 2</w:t>
      </w:r>
      <w:r w:rsidR="003968A9">
        <w:rPr>
          <w:rFonts w:cs="Arial"/>
          <w:sz w:val="24"/>
          <w:szCs w:val="24"/>
        </w:rPr>
        <w:t>7</w:t>
      </w:r>
      <w:r w:rsidR="003F2683">
        <w:rPr>
          <w:rFonts w:cs="Arial"/>
          <w:sz w:val="24"/>
          <w:szCs w:val="24"/>
        </w:rPr>
        <w:t xml:space="preserve"> January 202</w:t>
      </w:r>
      <w:r w:rsidR="003968A9">
        <w:rPr>
          <w:rFonts w:cs="Arial"/>
          <w:sz w:val="24"/>
          <w:szCs w:val="24"/>
        </w:rPr>
        <w:t>1</w:t>
      </w:r>
      <w:r w:rsidR="003F2683">
        <w:rPr>
          <w:rFonts w:cs="Arial"/>
          <w:sz w:val="24"/>
          <w:szCs w:val="24"/>
        </w:rPr>
        <w:t xml:space="preserve"> will be incorporated into the final budget report.</w:t>
      </w:r>
    </w:p>
    <w:p w14:paraId="673BBF72" w14:textId="77777777" w:rsidR="00BC160C" w:rsidRDefault="00BC160C" w:rsidP="006647A6">
      <w:pPr>
        <w:ind w:left="851" w:hanging="851"/>
        <w:jc w:val="left"/>
        <w:rPr>
          <w:rFonts w:cs="Arial"/>
          <w:sz w:val="24"/>
          <w:szCs w:val="24"/>
        </w:rPr>
      </w:pPr>
    </w:p>
    <w:p w14:paraId="3D896FE4" w14:textId="5B22748E" w:rsidR="00612FAB" w:rsidRDefault="00612FAB" w:rsidP="00933211">
      <w:pPr>
        <w:jc w:val="left"/>
        <w:rPr>
          <w:rFonts w:cs="Arial"/>
          <w:sz w:val="24"/>
          <w:szCs w:val="24"/>
        </w:rPr>
      </w:pPr>
    </w:p>
    <w:p w14:paraId="53DE6259" w14:textId="156FC65A" w:rsidR="00DA7386" w:rsidRDefault="00DA7386" w:rsidP="00933211">
      <w:pPr>
        <w:jc w:val="left"/>
        <w:rPr>
          <w:rFonts w:cs="Arial"/>
          <w:sz w:val="24"/>
          <w:szCs w:val="24"/>
        </w:rPr>
      </w:pPr>
    </w:p>
    <w:p w14:paraId="7C193240" w14:textId="77777777" w:rsidR="00DA7386" w:rsidRDefault="00DA7386" w:rsidP="00933211">
      <w:pPr>
        <w:jc w:val="left"/>
        <w:rPr>
          <w:rFonts w:cs="Arial"/>
          <w:sz w:val="24"/>
          <w:szCs w:val="24"/>
        </w:rPr>
      </w:pPr>
    </w:p>
    <w:p w14:paraId="12FA46AA" w14:textId="52600D9C" w:rsidR="00BC160C" w:rsidRPr="00DD5B09" w:rsidRDefault="00BC160C" w:rsidP="006647A6">
      <w:pPr>
        <w:ind w:left="851" w:hanging="851"/>
        <w:jc w:val="left"/>
        <w:rPr>
          <w:rFonts w:cs="Arial"/>
          <w:sz w:val="24"/>
          <w:szCs w:val="24"/>
        </w:rPr>
      </w:pPr>
      <w:r w:rsidRPr="00DD5B09">
        <w:rPr>
          <w:rFonts w:cs="Arial"/>
          <w:sz w:val="24"/>
          <w:szCs w:val="24"/>
        </w:rPr>
        <w:t>3.</w:t>
      </w:r>
      <w:r w:rsidR="0017654C">
        <w:rPr>
          <w:rFonts w:cs="Arial"/>
          <w:sz w:val="24"/>
          <w:szCs w:val="24"/>
        </w:rPr>
        <w:t>6</w:t>
      </w:r>
      <w:r>
        <w:rPr>
          <w:rFonts w:cs="Arial"/>
          <w:sz w:val="24"/>
          <w:szCs w:val="24"/>
        </w:rPr>
        <w:t>.2</w:t>
      </w:r>
      <w:r w:rsidRPr="00DD5B09">
        <w:rPr>
          <w:rFonts w:cs="Arial"/>
          <w:sz w:val="24"/>
          <w:szCs w:val="24"/>
        </w:rPr>
        <w:tab/>
      </w:r>
      <w:r w:rsidRPr="00DD5B09">
        <w:rPr>
          <w:rFonts w:cs="Arial"/>
          <w:b/>
          <w:sz w:val="24"/>
          <w:szCs w:val="24"/>
        </w:rPr>
        <w:t>General Fund Capital Programme</w:t>
      </w:r>
    </w:p>
    <w:p w14:paraId="2675AF51" w14:textId="77777777" w:rsidR="00BC160C" w:rsidRPr="00DD5B09" w:rsidRDefault="00BC160C" w:rsidP="006647A6">
      <w:pPr>
        <w:ind w:left="851" w:hanging="851"/>
        <w:jc w:val="left"/>
        <w:rPr>
          <w:rFonts w:cs="Arial"/>
          <w:sz w:val="24"/>
          <w:szCs w:val="24"/>
        </w:rPr>
      </w:pPr>
    </w:p>
    <w:p w14:paraId="0BD37BD0" w14:textId="5A42FF59" w:rsidR="00BC160C" w:rsidRPr="00E33107" w:rsidRDefault="00BC160C" w:rsidP="006647A6">
      <w:pPr>
        <w:ind w:left="851" w:hanging="851"/>
        <w:jc w:val="left"/>
        <w:rPr>
          <w:rFonts w:cs="Arial"/>
          <w:sz w:val="24"/>
          <w:szCs w:val="24"/>
        </w:rPr>
      </w:pPr>
      <w:r>
        <w:rPr>
          <w:rFonts w:cs="Arial"/>
          <w:sz w:val="24"/>
          <w:szCs w:val="24"/>
        </w:rPr>
        <w:t>3.</w:t>
      </w:r>
      <w:r w:rsidR="0017654C">
        <w:rPr>
          <w:rFonts w:cs="Arial"/>
          <w:sz w:val="24"/>
          <w:szCs w:val="24"/>
        </w:rPr>
        <w:t>6</w:t>
      </w:r>
      <w:r>
        <w:rPr>
          <w:rFonts w:cs="Arial"/>
          <w:sz w:val="24"/>
          <w:szCs w:val="24"/>
        </w:rPr>
        <w:t xml:space="preserve">.2.1 </w:t>
      </w:r>
      <w:r w:rsidR="00755F99">
        <w:rPr>
          <w:rFonts w:cs="Arial"/>
          <w:sz w:val="24"/>
          <w:szCs w:val="24"/>
        </w:rPr>
        <w:t>Table 3</w:t>
      </w:r>
      <w:r w:rsidRPr="00E33107">
        <w:rPr>
          <w:rFonts w:cs="Arial"/>
          <w:sz w:val="24"/>
          <w:szCs w:val="24"/>
        </w:rPr>
        <w:t xml:space="preserve"> below shows the </w:t>
      </w:r>
      <w:r w:rsidR="00BB22BA">
        <w:rPr>
          <w:rFonts w:cs="Arial"/>
          <w:sz w:val="24"/>
          <w:szCs w:val="24"/>
        </w:rPr>
        <w:t xml:space="preserve">proposed </w:t>
      </w:r>
      <w:r w:rsidRPr="00E33107">
        <w:rPr>
          <w:rFonts w:cs="Arial"/>
          <w:sz w:val="24"/>
          <w:szCs w:val="24"/>
        </w:rPr>
        <w:t>Consolidated General Fu</w:t>
      </w:r>
      <w:r w:rsidR="0042101C">
        <w:rPr>
          <w:rFonts w:cs="Arial"/>
          <w:sz w:val="24"/>
          <w:szCs w:val="24"/>
        </w:rPr>
        <w:t xml:space="preserve">nd Capital Programme for </w:t>
      </w:r>
      <w:r w:rsidR="00BB22BA">
        <w:rPr>
          <w:rFonts w:cs="Arial"/>
          <w:sz w:val="24"/>
          <w:szCs w:val="24"/>
        </w:rPr>
        <w:t>t</w:t>
      </w:r>
      <w:r w:rsidR="0042101C">
        <w:rPr>
          <w:rFonts w:cs="Arial"/>
          <w:sz w:val="24"/>
          <w:szCs w:val="24"/>
        </w:rPr>
        <w:t>he next three years from 2021</w:t>
      </w:r>
      <w:r w:rsidRPr="00E33107">
        <w:rPr>
          <w:rFonts w:cs="Arial"/>
          <w:sz w:val="24"/>
          <w:szCs w:val="24"/>
        </w:rPr>
        <w:t>/2</w:t>
      </w:r>
      <w:r w:rsidR="0042101C">
        <w:rPr>
          <w:rFonts w:cs="Arial"/>
          <w:sz w:val="24"/>
          <w:szCs w:val="24"/>
        </w:rPr>
        <w:t>2</w:t>
      </w:r>
      <w:r w:rsidRPr="00E33107">
        <w:rPr>
          <w:rFonts w:cs="Arial"/>
          <w:sz w:val="24"/>
          <w:szCs w:val="24"/>
        </w:rPr>
        <w:t xml:space="preserve"> to 202</w:t>
      </w:r>
      <w:r w:rsidR="0042101C">
        <w:rPr>
          <w:rFonts w:cs="Arial"/>
          <w:sz w:val="24"/>
          <w:szCs w:val="24"/>
        </w:rPr>
        <w:t>3</w:t>
      </w:r>
      <w:r w:rsidRPr="00E33107">
        <w:rPr>
          <w:rFonts w:cs="Arial"/>
          <w:sz w:val="24"/>
          <w:szCs w:val="24"/>
        </w:rPr>
        <w:t>/2</w:t>
      </w:r>
      <w:r w:rsidR="0042101C">
        <w:rPr>
          <w:rFonts w:cs="Arial"/>
          <w:sz w:val="24"/>
          <w:szCs w:val="24"/>
        </w:rPr>
        <w:t>4</w:t>
      </w:r>
      <w:r w:rsidRPr="00E33107">
        <w:rPr>
          <w:rFonts w:cs="Arial"/>
          <w:sz w:val="24"/>
          <w:szCs w:val="24"/>
        </w:rPr>
        <w:t xml:space="preserve"> together with the sources of funding. </w:t>
      </w:r>
    </w:p>
    <w:p w14:paraId="5623D0C4" w14:textId="36556641" w:rsidR="004C75D6" w:rsidRDefault="00BC160C" w:rsidP="008D4B66">
      <w:pPr>
        <w:ind w:left="851" w:hanging="851"/>
        <w:rPr>
          <w:rFonts w:cs="Arial"/>
          <w:sz w:val="24"/>
          <w:szCs w:val="24"/>
        </w:rPr>
      </w:pPr>
      <w:r w:rsidRPr="00E33107">
        <w:rPr>
          <w:rFonts w:cs="Arial"/>
          <w:sz w:val="24"/>
          <w:szCs w:val="24"/>
        </w:rPr>
        <w:t xml:space="preserve"> </w:t>
      </w:r>
    </w:p>
    <w:p w14:paraId="03C2778E" w14:textId="56713C21" w:rsidR="004C75D6" w:rsidRDefault="004C75D6" w:rsidP="00BC160C">
      <w:pPr>
        <w:ind w:left="851" w:hanging="851"/>
        <w:jc w:val="center"/>
        <w:rPr>
          <w:rFonts w:cs="Arial"/>
          <w:sz w:val="24"/>
          <w:szCs w:val="24"/>
        </w:rPr>
      </w:pPr>
    </w:p>
    <w:tbl>
      <w:tblPr>
        <w:tblW w:w="6992" w:type="dxa"/>
        <w:tblInd w:w="852" w:type="dxa"/>
        <w:tblLook w:val="04A0" w:firstRow="1" w:lastRow="0" w:firstColumn="1" w:lastColumn="0" w:noHBand="0" w:noVBand="1"/>
      </w:tblPr>
      <w:tblGrid>
        <w:gridCol w:w="3260"/>
        <w:gridCol w:w="1244"/>
        <w:gridCol w:w="1244"/>
        <w:gridCol w:w="1244"/>
      </w:tblGrid>
      <w:tr w:rsidR="0025039A" w:rsidRPr="0025039A" w14:paraId="2E2D155F" w14:textId="77777777" w:rsidTr="0025039A">
        <w:trPr>
          <w:trHeight w:val="288"/>
        </w:trPr>
        <w:tc>
          <w:tcPr>
            <w:tcW w:w="6992" w:type="dxa"/>
            <w:gridSpan w:val="4"/>
            <w:tcBorders>
              <w:top w:val="nil"/>
              <w:left w:val="nil"/>
              <w:bottom w:val="nil"/>
              <w:right w:val="nil"/>
            </w:tcBorders>
            <w:shd w:val="clear" w:color="auto" w:fill="auto"/>
            <w:noWrap/>
            <w:hideMark/>
          </w:tcPr>
          <w:p w14:paraId="07CBBD62" w14:textId="77777777" w:rsidR="0025039A" w:rsidRPr="0025039A" w:rsidRDefault="0025039A" w:rsidP="0025039A">
            <w:pPr>
              <w:jc w:val="center"/>
              <w:rPr>
                <w:rFonts w:cs="Arial"/>
                <w:color w:val="000000"/>
                <w:sz w:val="24"/>
                <w:szCs w:val="24"/>
              </w:rPr>
            </w:pPr>
            <w:r w:rsidRPr="0025039A">
              <w:rPr>
                <w:rFonts w:cs="Arial"/>
                <w:color w:val="000000"/>
                <w:sz w:val="24"/>
                <w:szCs w:val="24"/>
              </w:rPr>
              <w:t>Table 3</w:t>
            </w:r>
          </w:p>
        </w:tc>
      </w:tr>
      <w:tr w:rsidR="0025039A" w:rsidRPr="0025039A" w14:paraId="0D0F3BFF" w14:textId="77777777" w:rsidTr="0025039A">
        <w:trPr>
          <w:trHeight w:val="288"/>
        </w:trPr>
        <w:tc>
          <w:tcPr>
            <w:tcW w:w="3260" w:type="dxa"/>
            <w:tcBorders>
              <w:top w:val="nil"/>
              <w:left w:val="nil"/>
              <w:bottom w:val="nil"/>
              <w:right w:val="nil"/>
            </w:tcBorders>
            <w:shd w:val="clear" w:color="auto" w:fill="auto"/>
            <w:noWrap/>
            <w:hideMark/>
          </w:tcPr>
          <w:p w14:paraId="12999CE7" w14:textId="77777777" w:rsidR="0025039A" w:rsidRPr="0025039A" w:rsidRDefault="0025039A" w:rsidP="0025039A">
            <w:pPr>
              <w:jc w:val="center"/>
              <w:rPr>
                <w:rFonts w:cs="Arial"/>
                <w:color w:val="000000"/>
                <w:sz w:val="24"/>
                <w:szCs w:val="24"/>
              </w:rPr>
            </w:pPr>
          </w:p>
        </w:tc>
        <w:tc>
          <w:tcPr>
            <w:tcW w:w="1244" w:type="dxa"/>
            <w:tcBorders>
              <w:top w:val="nil"/>
              <w:left w:val="nil"/>
              <w:bottom w:val="nil"/>
              <w:right w:val="nil"/>
            </w:tcBorders>
            <w:shd w:val="clear" w:color="auto" w:fill="auto"/>
            <w:noWrap/>
            <w:hideMark/>
          </w:tcPr>
          <w:p w14:paraId="2A251705" w14:textId="77777777" w:rsidR="0025039A" w:rsidRPr="0025039A" w:rsidRDefault="0025039A" w:rsidP="0025039A">
            <w:pPr>
              <w:jc w:val="center"/>
              <w:rPr>
                <w:rFonts w:cs="Arial"/>
                <w:sz w:val="24"/>
                <w:szCs w:val="24"/>
              </w:rPr>
            </w:pPr>
          </w:p>
        </w:tc>
        <w:tc>
          <w:tcPr>
            <w:tcW w:w="1244" w:type="dxa"/>
            <w:tcBorders>
              <w:top w:val="nil"/>
              <w:left w:val="nil"/>
              <w:bottom w:val="nil"/>
              <w:right w:val="nil"/>
            </w:tcBorders>
            <w:shd w:val="clear" w:color="auto" w:fill="auto"/>
            <w:noWrap/>
            <w:hideMark/>
          </w:tcPr>
          <w:p w14:paraId="6BF0F122" w14:textId="77777777" w:rsidR="0025039A" w:rsidRPr="0025039A" w:rsidRDefault="0025039A" w:rsidP="0025039A">
            <w:pPr>
              <w:jc w:val="center"/>
              <w:rPr>
                <w:rFonts w:cs="Arial"/>
                <w:sz w:val="24"/>
                <w:szCs w:val="24"/>
              </w:rPr>
            </w:pPr>
          </w:p>
        </w:tc>
        <w:tc>
          <w:tcPr>
            <w:tcW w:w="1244" w:type="dxa"/>
            <w:tcBorders>
              <w:top w:val="nil"/>
              <w:left w:val="nil"/>
              <w:bottom w:val="nil"/>
              <w:right w:val="nil"/>
            </w:tcBorders>
            <w:shd w:val="clear" w:color="auto" w:fill="auto"/>
            <w:noWrap/>
            <w:hideMark/>
          </w:tcPr>
          <w:p w14:paraId="155F88C9" w14:textId="77777777" w:rsidR="0025039A" w:rsidRPr="0025039A" w:rsidRDefault="0025039A" w:rsidP="0025039A">
            <w:pPr>
              <w:jc w:val="center"/>
              <w:rPr>
                <w:rFonts w:cs="Arial"/>
                <w:sz w:val="24"/>
                <w:szCs w:val="24"/>
              </w:rPr>
            </w:pPr>
          </w:p>
        </w:tc>
      </w:tr>
      <w:tr w:rsidR="0025039A" w:rsidRPr="0025039A" w14:paraId="4CB99AB5" w14:textId="77777777" w:rsidTr="0025039A">
        <w:trPr>
          <w:trHeight w:val="288"/>
        </w:trPr>
        <w:tc>
          <w:tcPr>
            <w:tcW w:w="3260" w:type="dxa"/>
            <w:tcBorders>
              <w:top w:val="single" w:sz="4" w:space="0" w:color="auto"/>
              <w:left w:val="nil"/>
              <w:bottom w:val="nil"/>
              <w:right w:val="nil"/>
            </w:tcBorders>
            <w:shd w:val="clear" w:color="auto" w:fill="auto"/>
            <w:noWrap/>
            <w:hideMark/>
          </w:tcPr>
          <w:p w14:paraId="1C7D6939" w14:textId="77777777" w:rsidR="0025039A" w:rsidRPr="0025039A" w:rsidRDefault="0025039A" w:rsidP="0025039A">
            <w:pPr>
              <w:jc w:val="left"/>
              <w:rPr>
                <w:rFonts w:cs="Arial"/>
                <w:color w:val="000000"/>
                <w:sz w:val="24"/>
                <w:szCs w:val="24"/>
              </w:rPr>
            </w:pPr>
            <w:r w:rsidRPr="0025039A">
              <w:rPr>
                <w:rFonts w:cs="Arial"/>
                <w:color w:val="000000"/>
                <w:sz w:val="24"/>
                <w:szCs w:val="24"/>
              </w:rPr>
              <w:t> </w:t>
            </w:r>
          </w:p>
        </w:tc>
        <w:tc>
          <w:tcPr>
            <w:tcW w:w="1244" w:type="dxa"/>
            <w:tcBorders>
              <w:top w:val="single" w:sz="4" w:space="0" w:color="auto"/>
              <w:left w:val="nil"/>
              <w:bottom w:val="nil"/>
              <w:right w:val="nil"/>
            </w:tcBorders>
            <w:shd w:val="clear" w:color="auto" w:fill="auto"/>
            <w:noWrap/>
            <w:hideMark/>
          </w:tcPr>
          <w:p w14:paraId="123A8368" w14:textId="77777777" w:rsidR="0025039A" w:rsidRPr="0025039A" w:rsidRDefault="0025039A" w:rsidP="0025039A">
            <w:pPr>
              <w:jc w:val="left"/>
              <w:rPr>
                <w:rFonts w:cs="Arial"/>
                <w:color w:val="000000"/>
                <w:sz w:val="24"/>
                <w:szCs w:val="24"/>
              </w:rPr>
            </w:pPr>
            <w:r w:rsidRPr="0025039A">
              <w:rPr>
                <w:rFonts w:cs="Arial"/>
                <w:color w:val="000000"/>
                <w:sz w:val="24"/>
                <w:szCs w:val="24"/>
              </w:rPr>
              <w:t>Proposed</w:t>
            </w:r>
          </w:p>
        </w:tc>
        <w:tc>
          <w:tcPr>
            <w:tcW w:w="1244" w:type="dxa"/>
            <w:tcBorders>
              <w:top w:val="single" w:sz="4" w:space="0" w:color="auto"/>
              <w:left w:val="nil"/>
              <w:bottom w:val="nil"/>
              <w:right w:val="nil"/>
            </w:tcBorders>
            <w:shd w:val="clear" w:color="auto" w:fill="auto"/>
            <w:noWrap/>
            <w:hideMark/>
          </w:tcPr>
          <w:p w14:paraId="69CFDC22" w14:textId="77777777" w:rsidR="0025039A" w:rsidRPr="0025039A" w:rsidRDefault="0025039A" w:rsidP="0025039A">
            <w:pPr>
              <w:jc w:val="left"/>
              <w:rPr>
                <w:rFonts w:cs="Arial"/>
                <w:color w:val="000000"/>
                <w:sz w:val="24"/>
                <w:szCs w:val="24"/>
              </w:rPr>
            </w:pPr>
            <w:r w:rsidRPr="0025039A">
              <w:rPr>
                <w:rFonts w:cs="Arial"/>
                <w:color w:val="000000"/>
                <w:sz w:val="24"/>
                <w:szCs w:val="24"/>
              </w:rPr>
              <w:t>Proposed</w:t>
            </w:r>
          </w:p>
        </w:tc>
        <w:tc>
          <w:tcPr>
            <w:tcW w:w="1244" w:type="dxa"/>
            <w:tcBorders>
              <w:top w:val="single" w:sz="4" w:space="0" w:color="auto"/>
              <w:left w:val="nil"/>
              <w:bottom w:val="nil"/>
              <w:right w:val="nil"/>
            </w:tcBorders>
            <w:shd w:val="clear" w:color="auto" w:fill="auto"/>
            <w:noWrap/>
            <w:hideMark/>
          </w:tcPr>
          <w:p w14:paraId="663CFCC2" w14:textId="77777777" w:rsidR="0025039A" w:rsidRPr="0025039A" w:rsidRDefault="0025039A" w:rsidP="0025039A">
            <w:pPr>
              <w:jc w:val="left"/>
              <w:rPr>
                <w:rFonts w:cs="Arial"/>
                <w:color w:val="000000"/>
                <w:sz w:val="24"/>
                <w:szCs w:val="24"/>
              </w:rPr>
            </w:pPr>
            <w:r w:rsidRPr="0025039A">
              <w:rPr>
                <w:rFonts w:cs="Arial"/>
                <w:color w:val="000000"/>
                <w:sz w:val="24"/>
                <w:szCs w:val="24"/>
              </w:rPr>
              <w:t>Proposed</w:t>
            </w:r>
          </w:p>
        </w:tc>
      </w:tr>
      <w:tr w:rsidR="0025039A" w:rsidRPr="0025039A" w14:paraId="40D3CA0D" w14:textId="77777777" w:rsidTr="0025039A">
        <w:trPr>
          <w:trHeight w:val="339"/>
        </w:trPr>
        <w:tc>
          <w:tcPr>
            <w:tcW w:w="3260" w:type="dxa"/>
            <w:tcBorders>
              <w:top w:val="nil"/>
              <w:left w:val="nil"/>
              <w:bottom w:val="nil"/>
              <w:right w:val="nil"/>
            </w:tcBorders>
            <w:shd w:val="clear" w:color="auto" w:fill="auto"/>
            <w:noWrap/>
            <w:hideMark/>
          </w:tcPr>
          <w:p w14:paraId="0770F1BE" w14:textId="77777777" w:rsidR="0025039A" w:rsidRPr="0025039A" w:rsidRDefault="0025039A" w:rsidP="0025039A">
            <w:pPr>
              <w:jc w:val="left"/>
              <w:rPr>
                <w:rFonts w:cs="Arial"/>
                <w:color w:val="000000"/>
                <w:sz w:val="24"/>
                <w:szCs w:val="24"/>
              </w:rPr>
            </w:pPr>
          </w:p>
        </w:tc>
        <w:tc>
          <w:tcPr>
            <w:tcW w:w="1244" w:type="dxa"/>
            <w:tcBorders>
              <w:top w:val="nil"/>
              <w:left w:val="nil"/>
              <w:bottom w:val="nil"/>
              <w:right w:val="nil"/>
            </w:tcBorders>
            <w:shd w:val="clear" w:color="auto" w:fill="auto"/>
            <w:hideMark/>
          </w:tcPr>
          <w:p w14:paraId="12F6AD4A" w14:textId="71636252" w:rsidR="0025039A" w:rsidRPr="0025039A" w:rsidRDefault="0025039A" w:rsidP="0025039A">
            <w:pPr>
              <w:jc w:val="center"/>
              <w:rPr>
                <w:rFonts w:cs="Arial"/>
                <w:color w:val="000000"/>
                <w:sz w:val="24"/>
                <w:szCs w:val="24"/>
              </w:rPr>
            </w:pPr>
            <w:r>
              <w:rPr>
                <w:rFonts w:cs="Arial"/>
                <w:color w:val="000000"/>
                <w:sz w:val="24"/>
                <w:szCs w:val="24"/>
              </w:rPr>
              <w:t>2021/</w:t>
            </w:r>
            <w:r w:rsidRPr="0025039A">
              <w:rPr>
                <w:rFonts w:cs="Arial"/>
                <w:color w:val="000000"/>
                <w:sz w:val="24"/>
                <w:szCs w:val="24"/>
              </w:rPr>
              <w:t xml:space="preserve">22 </w:t>
            </w:r>
          </w:p>
        </w:tc>
        <w:tc>
          <w:tcPr>
            <w:tcW w:w="1244" w:type="dxa"/>
            <w:tcBorders>
              <w:top w:val="nil"/>
              <w:left w:val="nil"/>
              <w:bottom w:val="nil"/>
              <w:right w:val="nil"/>
            </w:tcBorders>
            <w:shd w:val="clear" w:color="auto" w:fill="auto"/>
            <w:hideMark/>
          </w:tcPr>
          <w:p w14:paraId="1C62AA41" w14:textId="7400797E" w:rsidR="0025039A" w:rsidRPr="0025039A" w:rsidRDefault="0025039A" w:rsidP="0025039A">
            <w:pPr>
              <w:jc w:val="center"/>
              <w:rPr>
                <w:rFonts w:cs="Arial"/>
                <w:color w:val="000000"/>
                <w:sz w:val="24"/>
                <w:szCs w:val="24"/>
              </w:rPr>
            </w:pPr>
            <w:r>
              <w:rPr>
                <w:rFonts w:cs="Arial"/>
                <w:color w:val="000000"/>
                <w:sz w:val="24"/>
                <w:szCs w:val="24"/>
              </w:rPr>
              <w:t>2022/</w:t>
            </w:r>
            <w:r w:rsidRPr="0025039A">
              <w:rPr>
                <w:rFonts w:cs="Arial"/>
                <w:color w:val="000000"/>
                <w:sz w:val="24"/>
                <w:szCs w:val="24"/>
              </w:rPr>
              <w:t xml:space="preserve">23 </w:t>
            </w:r>
          </w:p>
        </w:tc>
        <w:tc>
          <w:tcPr>
            <w:tcW w:w="1244" w:type="dxa"/>
            <w:tcBorders>
              <w:top w:val="nil"/>
              <w:left w:val="nil"/>
              <w:bottom w:val="nil"/>
              <w:right w:val="nil"/>
            </w:tcBorders>
            <w:shd w:val="clear" w:color="auto" w:fill="auto"/>
            <w:hideMark/>
          </w:tcPr>
          <w:p w14:paraId="102A4633" w14:textId="28095C7A" w:rsidR="0025039A" w:rsidRPr="0025039A" w:rsidRDefault="0025039A" w:rsidP="0025039A">
            <w:pPr>
              <w:jc w:val="center"/>
              <w:rPr>
                <w:rFonts w:cs="Arial"/>
                <w:color w:val="000000"/>
                <w:sz w:val="24"/>
                <w:szCs w:val="24"/>
              </w:rPr>
            </w:pPr>
            <w:r>
              <w:rPr>
                <w:rFonts w:cs="Arial"/>
                <w:color w:val="000000"/>
                <w:sz w:val="24"/>
                <w:szCs w:val="24"/>
              </w:rPr>
              <w:t>2023/</w:t>
            </w:r>
            <w:r w:rsidRPr="0025039A">
              <w:rPr>
                <w:rFonts w:cs="Arial"/>
                <w:color w:val="000000"/>
                <w:sz w:val="24"/>
                <w:szCs w:val="24"/>
              </w:rPr>
              <w:t>24</w:t>
            </w:r>
          </w:p>
        </w:tc>
      </w:tr>
      <w:tr w:rsidR="0025039A" w:rsidRPr="0025039A" w14:paraId="02131CF5" w14:textId="77777777" w:rsidTr="0025039A">
        <w:trPr>
          <w:trHeight w:val="300"/>
        </w:trPr>
        <w:tc>
          <w:tcPr>
            <w:tcW w:w="3260" w:type="dxa"/>
            <w:tcBorders>
              <w:top w:val="nil"/>
              <w:left w:val="nil"/>
              <w:bottom w:val="single" w:sz="4" w:space="0" w:color="auto"/>
              <w:right w:val="nil"/>
            </w:tcBorders>
            <w:shd w:val="clear" w:color="auto" w:fill="auto"/>
            <w:noWrap/>
            <w:hideMark/>
          </w:tcPr>
          <w:p w14:paraId="17FB1F0E" w14:textId="77777777" w:rsidR="0025039A" w:rsidRPr="0025039A" w:rsidRDefault="0025039A" w:rsidP="0025039A">
            <w:pPr>
              <w:jc w:val="left"/>
              <w:rPr>
                <w:rFonts w:cs="Arial"/>
                <w:color w:val="000000"/>
                <w:sz w:val="24"/>
                <w:szCs w:val="24"/>
              </w:rPr>
            </w:pPr>
            <w:r w:rsidRPr="0025039A">
              <w:rPr>
                <w:rFonts w:cs="Arial"/>
                <w:color w:val="000000"/>
                <w:sz w:val="24"/>
                <w:szCs w:val="24"/>
              </w:rPr>
              <w:t> </w:t>
            </w:r>
          </w:p>
        </w:tc>
        <w:tc>
          <w:tcPr>
            <w:tcW w:w="1244" w:type="dxa"/>
            <w:tcBorders>
              <w:top w:val="nil"/>
              <w:left w:val="nil"/>
              <w:bottom w:val="single" w:sz="4" w:space="0" w:color="auto"/>
              <w:right w:val="nil"/>
            </w:tcBorders>
            <w:shd w:val="clear" w:color="auto" w:fill="auto"/>
            <w:hideMark/>
          </w:tcPr>
          <w:p w14:paraId="17E316C2" w14:textId="77777777" w:rsidR="0025039A" w:rsidRPr="0025039A" w:rsidRDefault="0025039A" w:rsidP="0025039A">
            <w:pPr>
              <w:jc w:val="center"/>
              <w:rPr>
                <w:rFonts w:cs="Arial"/>
                <w:color w:val="000000"/>
                <w:sz w:val="24"/>
                <w:szCs w:val="24"/>
              </w:rPr>
            </w:pPr>
            <w:r w:rsidRPr="0025039A">
              <w:rPr>
                <w:rFonts w:cs="Arial"/>
                <w:color w:val="000000"/>
                <w:sz w:val="24"/>
                <w:szCs w:val="24"/>
              </w:rPr>
              <w:t>£000</w:t>
            </w:r>
          </w:p>
        </w:tc>
        <w:tc>
          <w:tcPr>
            <w:tcW w:w="1244" w:type="dxa"/>
            <w:tcBorders>
              <w:top w:val="nil"/>
              <w:left w:val="nil"/>
              <w:bottom w:val="single" w:sz="4" w:space="0" w:color="auto"/>
              <w:right w:val="nil"/>
            </w:tcBorders>
            <w:shd w:val="clear" w:color="auto" w:fill="auto"/>
            <w:hideMark/>
          </w:tcPr>
          <w:p w14:paraId="7DECCC91" w14:textId="77777777" w:rsidR="0025039A" w:rsidRPr="0025039A" w:rsidRDefault="0025039A" w:rsidP="0025039A">
            <w:pPr>
              <w:jc w:val="center"/>
              <w:rPr>
                <w:rFonts w:cs="Arial"/>
                <w:color w:val="000000"/>
                <w:sz w:val="24"/>
                <w:szCs w:val="24"/>
              </w:rPr>
            </w:pPr>
            <w:r w:rsidRPr="0025039A">
              <w:rPr>
                <w:rFonts w:cs="Arial"/>
                <w:color w:val="000000"/>
                <w:sz w:val="24"/>
                <w:szCs w:val="24"/>
              </w:rPr>
              <w:t>£000</w:t>
            </w:r>
          </w:p>
        </w:tc>
        <w:tc>
          <w:tcPr>
            <w:tcW w:w="1244" w:type="dxa"/>
            <w:tcBorders>
              <w:top w:val="nil"/>
              <w:left w:val="nil"/>
              <w:bottom w:val="single" w:sz="4" w:space="0" w:color="auto"/>
              <w:right w:val="nil"/>
            </w:tcBorders>
            <w:shd w:val="clear" w:color="auto" w:fill="auto"/>
            <w:hideMark/>
          </w:tcPr>
          <w:p w14:paraId="0070CA72" w14:textId="77777777" w:rsidR="0025039A" w:rsidRPr="0025039A" w:rsidRDefault="0025039A" w:rsidP="0025039A">
            <w:pPr>
              <w:jc w:val="center"/>
              <w:rPr>
                <w:rFonts w:cs="Arial"/>
                <w:color w:val="000000"/>
                <w:sz w:val="24"/>
                <w:szCs w:val="24"/>
              </w:rPr>
            </w:pPr>
            <w:r w:rsidRPr="0025039A">
              <w:rPr>
                <w:rFonts w:cs="Arial"/>
                <w:color w:val="000000"/>
                <w:sz w:val="24"/>
                <w:szCs w:val="24"/>
              </w:rPr>
              <w:t>£000</w:t>
            </w:r>
          </w:p>
        </w:tc>
      </w:tr>
      <w:tr w:rsidR="0025039A" w:rsidRPr="0025039A" w14:paraId="491AE7FC" w14:textId="77777777" w:rsidTr="0025039A">
        <w:trPr>
          <w:trHeight w:val="552"/>
        </w:trPr>
        <w:tc>
          <w:tcPr>
            <w:tcW w:w="3260" w:type="dxa"/>
            <w:tcBorders>
              <w:top w:val="nil"/>
              <w:left w:val="nil"/>
              <w:bottom w:val="nil"/>
              <w:right w:val="nil"/>
            </w:tcBorders>
            <w:shd w:val="clear" w:color="auto" w:fill="auto"/>
            <w:hideMark/>
          </w:tcPr>
          <w:p w14:paraId="324A968F" w14:textId="77777777" w:rsidR="0025039A" w:rsidRPr="0025039A" w:rsidRDefault="0025039A" w:rsidP="0025039A">
            <w:pPr>
              <w:jc w:val="left"/>
              <w:rPr>
                <w:rFonts w:cs="Arial"/>
                <w:color w:val="000000"/>
                <w:sz w:val="24"/>
                <w:szCs w:val="24"/>
              </w:rPr>
            </w:pPr>
            <w:r w:rsidRPr="0025039A">
              <w:rPr>
                <w:rFonts w:cs="Arial"/>
                <w:color w:val="000000"/>
                <w:sz w:val="24"/>
                <w:szCs w:val="24"/>
              </w:rPr>
              <w:t xml:space="preserve">General Fund Capital Programme </w:t>
            </w:r>
          </w:p>
        </w:tc>
        <w:tc>
          <w:tcPr>
            <w:tcW w:w="1244" w:type="dxa"/>
            <w:tcBorders>
              <w:top w:val="nil"/>
              <w:left w:val="nil"/>
              <w:bottom w:val="nil"/>
              <w:right w:val="nil"/>
            </w:tcBorders>
            <w:shd w:val="clear" w:color="auto" w:fill="auto"/>
            <w:noWrap/>
            <w:hideMark/>
          </w:tcPr>
          <w:p w14:paraId="727EA9B9" w14:textId="77777777" w:rsidR="0025039A" w:rsidRPr="0025039A" w:rsidRDefault="0025039A" w:rsidP="0025039A">
            <w:pPr>
              <w:jc w:val="center"/>
              <w:rPr>
                <w:rFonts w:cs="Arial"/>
                <w:color w:val="000000"/>
                <w:sz w:val="24"/>
                <w:szCs w:val="24"/>
              </w:rPr>
            </w:pPr>
            <w:r w:rsidRPr="0025039A">
              <w:rPr>
                <w:rFonts w:cs="Arial"/>
                <w:color w:val="000000"/>
                <w:sz w:val="24"/>
                <w:szCs w:val="24"/>
              </w:rPr>
              <w:t>9,090</w:t>
            </w:r>
          </w:p>
        </w:tc>
        <w:tc>
          <w:tcPr>
            <w:tcW w:w="1244" w:type="dxa"/>
            <w:tcBorders>
              <w:top w:val="nil"/>
              <w:left w:val="nil"/>
              <w:bottom w:val="nil"/>
              <w:right w:val="nil"/>
            </w:tcBorders>
            <w:shd w:val="clear" w:color="auto" w:fill="auto"/>
            <w:noWrap/>
            <w:hideMark/>
          </w:tcPr>
          <w:p w14:paraId="0042117D" w14:textId="77777777" w:rsidR="0025039A" w:rsidRPr="0025039A" w:rsidRDefault="0025039A" w:rsidP="0025039A">
            <w:pPr>
              <w:jc w:val="center"/>
              <w:rPr>
                <w:rFonts w:cs="Arial"/>
                <w:color w:val="000000"/>
                <w:sz w:val="24"/>
                <w:szCs w:val="24"/>
              </w:rPr>
            </w:pPr>
            <w:r w:rsidRPr="0025039A">
              <w:rPr>
                <w:rFonts w:cs="Arial"/>
                <w:color w:val="000000"/>
                <w:sz w:val="24"/>
                <w:szCs w:val="24"/>
              </w:rPr>
              <w:t>3,803</w:t>
            </w:r>
          </w:p>
        </w:tc>
        <w:tc>
          <w:tcPr>
            <w:tcW w:w="1244" w:type="dxa"/>
            <w:tcBorders>
              <w:top w:val="nil"/>
              <w:left w:val="nil"/>
              <w:bottom w:val="nil"/>
              <w:right w:val="nil"/>
            </w:tcBorders>
            <w:shd w:val="clear" w:color="auto" w:fill="auto"/>
            <w:noWrap/>
            <w:hideMark/>
          </w:tcPr>
          <w:p w14:paraId="01A59A3E" w14:textId="77777777" w:rsidR="0025039A" w:rsidRPr="0025039A" w:rsidRDefault="0025039A" w:rsidP="0025039A">
            <w:pPr>
              <w:jc w:val="center"/>
              <w:rPr>
                <w:rFonts w:cs="Arial"/>
                <w:color w:val="000000"/>
                <w:sz w:val="24"/>
                <w:szCs w:val="24"/>
              </w:rPr>
            </w:pPr>
            <w:r w:rsidRPr="0025039A">
              <w:rPr>
                <w:rFonts w:cs="Arial"/>
                <w:color w:val="000000"/>
                <w:sz w:val="24"/>
                <w:szCs w:val="24"/>
              </w:rPr>
              <w:t>2,118</w:t>
            </w:r>
          </w:p>
        </w:tc>
      </w:tr>
      <w:tr w:rsidR="0025039A" w:rsidRPr="0025039A" w14:paraId="6A3EDE97" w14:textId="77777777" w:rsidTr="0025039A">
        <w:trPr>
          <w:trHeight w:val="288"/>
        </w:trPr>
        <w:tc>
          <w:tcPr>
            <w:tcW w:w="3260" w:type="dxa"/>
            <w:tcBorders>
              <w:top w:val="nil"/>
              <w:left w:val="nil"/>
              <w:bottom w:val="nil"/>
              <w:right w:val="nil"/>
            </w:tcBorders>
            <w:shd w:val="clear" w:color="auto" w:fill="auto"/>
            <w:noWrap/>
            <w:hideMark/>
          </w:tcPr>
          <w:p w14:paraId="28427DE3" w14:textId="77777777" w:rsidR="0025039A" w:rsidRPr="0025039A" w:rsidRDefault="0025039A" w:rsidP="0025039A">
            <w:pPr>
              <w:jc w:val="left"/>
              <w:rPr>
                <w:rFonts w:cs="Arial"/>
                <w:b/>
                <w:bCs/>
                <w:color w:val="000000"/>
                <w:sz w:val="24"/>
                <w:szCs w:val="24"/>
              </w:rPr>
            </w:pPr>
            <w:r w:rsidRPr="0025039A">
              <w:rPr>
                <w:rFonts w:cs="Arial"/>
                <w:b/>
                <w:bCs/>
                <w:color w:val="000000"/>
                <w:sz w:val="24"/>
                <w:szCs w:val="24"/>
              </w:rPr>
              <w:t xml:space="preserve">Total </w:t>
            </w:r>
          </w:p>
        </w:tc>
        <w:tc>
          <w:tcPr>
            <w:tcW w:w="1244" w:type="dxa"/>
            <w:tcBorders>
              <w:top w:val="nil"/>
              <w:left w:val="nil"/>
              <w:bottom w:val="nil"/>
              <w:right w:val="nil"/>
            </w:tcBorders>
            <w:shd w:val="clear" w:color="auto" w:fill="auto"/>
            <w:noWrap/>
            <w:hideMark/>
          </w:tcPr>
          <w:p w14:paraId="19E42344" w14:textId="77777777" w:rsidR="0025039A" w:rsidRPr="0025039A" w:rsidRDefault="0025039A" w:rsidP="0025039A">
            <w:pPr>
              <w:jc w:val="center"/>
              <w:rPr>
                <w:rFonts w:cs="Arial"/>
                <w:b/>
                <w:bCs/>
                <w:color w:val="000000"/>
                <w:sz w:val="24"/>
                <w:szCs w:val="24"/>
              </w:rPr>
            </w:pPr>
            <w:r w:rsidRPr="0025039A">
              <w:rPr>
                <w:rFonts w:cs="Arial"/>
                <w:b/>
                <w:bCs/>
                <w:color w:val="000000"/>
                <w:sz w:val="24"/>
                <w:szCs w:val="24"/>
              </w:rPr>
              <w:t>9,090</w:t>
            </w:r>
          </w:p>
        </w:tc>
        <w:tc>
          <w:tcPr>
            <w:tcW w:w="1244" w:type="dxa"/>
            <w:tcBorders>
              <w:top w:val="nil"/>
              <w:left w:val="nil"/>
              <w:bottom w:val="nil"/>
              <w:right w:val="nil"/>
            </w:tcBorders>
            <w:shd w:val="clear" w:color="auto" w:fill="auto"/>
            <w:noWrap/>
            <w:hideMark/>
          </w:tcPr>
          <w:p w14:paraId="6029AB36" w14:textId="77777777" w:rsidR="0025039A" w:rsidRPr="0025039A" w:rsidRDefault="0025039A" w:rsidP="0025039A">
            <w:pPr>
              <w:jc w:val="center"/>
              <w:rPr>
                <w:rFonts w:cs="Arial"/>
                <w:b/>
                <w:bCs/>
                <w:color w:val="000000"/>
                <w:sz w:val="24"/>
                <w:szCs w:val="24"/>
              </w:rPr>
            </w:pPr>
            <w:r w:rsidRPr="0025039A">
              <w:rPr>
                <w:rFonts w:cs="Arial"/>
                <w:b/>
                <w:bCs/>
                <w:color w:val="000000"/>
                <w:sz w:val="24"/>
                <w:szCs w:val="24"/>
              </w:rPr>
              <w:t>3,803</w:t>
            </w:r>
          </w:p>
        </w:tc>
        <w:tc>
          <w:tcPr>
            <w:tcW w:w="1244" w:type="dxa"/>
            <w:tcBorders>
              <w:top w:val="nil"/>
              <w:left w:val="nil"/>
              <w:bottom w:val="nil"/>
              <w:right w:val="nil"/>
            </w:tcBorders>
            <w:shd w:val="clear" w:color="auto" w:fill="auto"/>
            <w:noWrap/>
            <w:hideMark/>
          </w:tcPr>
          <w:p w14:paraId="399A29B5" w14:textId="77777777" w:rsidR="0025039A" w:rsidRPr="0025039A" w:rsidRDefault="0025039A" w:rsidP="0025039A">
            <w:pPr>
              <w:jc w:val="center"/>
              <w:rPr>
                <w:rFonts w:cs="Arial"/>
                <w:b/>
                <w:bCs/>
                <w:color w:val="000000"/>
                <w:sz w:val="24"/>
                <w:szCs w:val="24"/>
              </w:rPr>
            </w:pPr>
            <w:r w:rsidRPr="0025039A">
              <w:rPr>
                <w:rFonts w:cs="Arial"/>
                <w:b/>
                <w:bCs/>
                <w:color w:val="000000"/>
                <w:sz w:val="24"/>
                <w:szCs w:val="24"/>
              </w:rPr>
              <w:t>2,118</w:t>
            </w:r>
          </w:p>
        </w:tc>
      </w:tr>
      <w:tr w:rsidR="0025039A" w:rsidRPr="0025039A" w14:paraId="4857A7B9" w14:textId="77777777" w:rsidTr="0025039A">
        <w:trPr>
          <w:trHeight w:val="300"/>
        </w:trPr>
        <w:tc>
          <w:tcPr>
            <w:tcW w:w="3260" w:type="dxa"/>
            <w:tcBorders>
              <w:top w:val="nil"/>
              <w:left w:val="nil"/>
              <w:bottom w:val="nil"/>
              <w:right w:val="nil"/>
            </w:tcBorders>
            <w:shd w:val="clear" w:color="auto" w:fill="auto"/>
            <w:noWrap/>
            <w:hideMark/>
          </w:tcPr>
          <w:p w14:paraId="08EE3EE5" w14:textId="77777777" w:rsidR="0025039A" w:rsidRPr="0025039A" w:rsidRDefault="0025039A" w:rsidP="0025039A">
            <w:pPr>
              <w:jc w:val="center"/>
              <w:rPr>
                <w:rFonts w:cs="Arial"/>
                <w:b/>
                <w:bCs/>
                <w:color w:val="000000"/>
                <w:sz w:val="24"/>
                <w:szCs w:val="24"/>
              </w:rPr>
            </w:pPr>
          </w:p>
        </w:tc>
        <w:tc>
          <w:tcPr>
            <w:tcW w:w="1244" w:type="dxa"/>
            <w:tcBorders>
              <w:top w:val="nil"/>
              <w:left w:val="nil"/>
              <w:bottom w:val="nil"/>
              <w:right w:val="nil"/>
            </w:tcBorders>
            <w:shd w:val="clear" w:color="auto" w:fill="auto"/>
            <w:noWrap/>
            <w:hideMark/>
          </w:tcPr>
          <w:p w14:paraId="36EF8A38" w14:textId="77777777" w:rsidR="0025039A" w:rsidRPr="0025039A" w:rsidRDefault="0025039A" w:rsidP="0025039A">
            <w:pPr>
              <w:jc w:val="left"/>
              <w:rPr>
                <w:rFonts w:cs="Arial"/>
                <w:sz w:val="24"/>
                <w:szCs w:val="24"/>
              </w:rPr>
            </w:pPr>
          </w:p>
        </w:tc>
        <w:tc>
          <w:tcPr>
            <w:tcW w:w="1244" w:type="dxa"/>
            <w:tcBorders>
              <w:top w:val="nil"/>
              <w:left w:val="nil"/>
              <w:bottom w:val="nil"/>
              <w:right w:val="nil"/>
            </w:tcBorders>
            <w:shd w:val="clear" w:color="auto" w:fill="auto"/>
            <w:noWrap/>
            <w:hideMark/>
          </w:tcPr>
          <w:p w14:paraId="1E965492" w14:textId="77777777" w:rsidR="0025039A" w:rsidRPr="0025039A" w:rsidRDefault="0025039A" w:rsidP="0025039A">
            <w:pPr>
              <w:jc w:val="center"/>
              <w:rPr>
                <w:rFonts w:cs="Arial"/>
                <w:sz w:val="24"/>
                <w:szCs w:val="24"/>
              </w:rPr>
            </w:pPr>
          </w:p>
        </w:tc>
        <w:tc>
          <w:tcPr>
            <w:tcW w:w="1244" w:type="dxa"/>
            <w:tcBorders>
              <w:top w:val="nil"/>
              <w:left w:val="nil"/>
              <w:bottom w:val="nil"/>
              <w:right w:val="nil"/>
            </w:tcBorders>
            <w:shd w:val="clear" w:color="auto" w:fill="auto"/>
            <w:noWrap/>
            <w:hideMark/>
          </w:tcPr>
          <w:p w14:paraId="083730CC" w14:textId="77777777" w:rsidR="0025039A" w:rsidRPr="0025039A" w:rsidRDefault="0025039A" w:rsidP="0025039A">
            <w:pPr>
              <w:jc w:val="center"/>
              <w:rPr>
                <w:rFonts w:cs="Arial"/>
                <w:sz w:val="24"/>
                <w:szCs w:val="24"/>
              </w:rPr>
            </w:pPr>
          </w:p>
        </w:tc>
      </w:tr>
      <w:tr w:rsidR="0025039A" w:rsidRPr="0025039A" w14:paraId="6FF6DF2D" w14:textId="77777777" w:rsidTr="0025039A">
        <w:trPr>
          <w:trHeight w:val="288"/>
        </w:trPr>
        <w:tc>
          <w:tcPr>
            <w:tcW w:w="3260" w:type="dxa"/>
            <w:tcBorders>
              <w:top w:val="nil"/>
              <w:left w:val="nil"/>
              <w:bottom w:val="nil"/>
              <w:right w:val="nil"/>
            </w:tcBorders>
            <w:shd w:val="clear" w:color="auto" w:fill="auto"/>
            <w:noWrap/>
            <w:hideMark/>
          </w:tcPr>
          <w:p w14:paraId="65CA4516" w14:textId="77777777" w:rsidR="0025039A" w:rsidRPr="0025039A" w:rsidRDefault="0025039A" w:rsidP="0025039A">
            <w:pPr>
              <w:jc w:val="left"/>
              <w:rPr>
                <w:rFonts w:cs="Arial"/>
                <w:b/>
                <w:bCs/>
                <w:color w:val="000000"/>
                <w:sz w:val="24"/>
                <w:szCs w:val="24"/>
              </w:rPr>
            </w:pPr>
            <w:r w:rsidRPr="0025039A">
              <w:rPr>
                <w:rFonts w:cs="Arial"/>
                <w:b/>
                <w:bCs/>
                <w:color w:val="000000"/>
                <w:sz w:val="24"/>
                <w:szCs w:val="24"/>
              </w:rPr>
              <w:t>Funded by:</w:t>
            </w:r>
          </w:p>
        </w:tc>
        <w:tc>
          <w:tcPr>
            <w:tcW w:w="1244" w:type="dxa"/>
            <w:tcBorders>
              <w:top w:val="nil"/>
              <w:left w:val="nil"/>
              <w:bottom w:val="nil"/>
              <w:right w:val="nil"/>
            </w:tcBorders>
            <w:shd w:val="clear" w:color="auto" w:fill="auto"/>
            <w:noWrap/>
            <w:hideMark/>
          </w:tcPr>
          <w:p w14:paraId="1BC957E1" w14:textId="77777777" w:rsidR="0025039A" w:rsidRPr="0025039A" w:rsidRDefault="0025039A" w:rsidP="0025039A">
            <w:pPr>
              <w:jc w:val="left"/>
              <w:rPr>
                <w:rFonts w:cs="Arial"/>
                <w:b/>
                <w:bCs/>
                <w:color w:val="000000"/>
                <w:sz w:val="24"/>
                <w:szCs w:val="24"/>
              </w:rPr>
            </w:pPr>
          </w:p>
        </w:tc>
        <w:tc>
          <w:tcPr>
            <w:tcW w:w="1244" w:type="dxa"/>
            <w:tcBorders>
              <w:top w:val="nil"/>
              <w:left w:val="nil"/>
              <w:bottom w:val="nil"/>
              <w:right w:val="nil"/>
            </w:tcBorders>
            <w:shd w:val="clear" w:color="auto" w:fill="auto"/>
            <w:noWrap/>
            <w:hideMark/>
          </w:tcPr>
          <w:p w14:paraId="163D0205" w14:textId="77777777" w:rsidR="0025039A" w:rsidRPr="0025039A" w:rsidRDefault="0025039A" w:rsidP="0025039A">
            <w:pPr>
              <w:jc w:val="center"/>
              <w:rPr>
                <w:rFonts w:cs="Arial"/>
                <w:sz w:val="24"/>
                <w:szCs w:val="24"/>
              </w:rPr>
            </w:pPr>
          </w:p>
        </w:tc>
        <w:tc>
          <w:tcPr>
            <w:tcW w:w="1244" w:type="dxa"/>
            <w:tcBorders>
              <w:top w:val="nil"/>
              <w:left w:val="nil"/>
              <w:bottom w:val="nil"/>
              <w:right w:val="nil"/>
            </w:tcBorders>
            <w:shd w:val="clear" w:color="auto" w:fill="auto"/>
            <w:noWrap/>
            <w:hideMark/>
          </w:tcPr>
          <w:p w14:paraId="3D8344E5" w14:textId="77777777" w:rsidR="0025039A" w:rsidRPr="0025039A" w:rsidRDefault="0025039A" w:rsidP="0025039A">
            <w:pPr>
              <w:jc w:val="center"/>
              <w:rPr>
                <w:rFonts w:cs="Arial"/>
                <w:sz w:val="24"/>
                <w:szCs w:val="24"/>
              </w:rPr>
            </w:pPr>
          </w:p>
        </w:tc>
      </w:tr>
      <w:tr w:rsidR="0025039A" w:rsidRPr="0025039A" w14:paraId="6F381EFC" w14:textId="77777777" w:rsidTr="0025039A">
        <w:trPr>
          <w:trHeight w:val="288"/>
        </w:trPr>
        <w:tc>
          <w:tcPr>
            <w:tcW w:w="3260" w:type="dxa"/>
            <w:tcBorders>
              <w:top w:val="nil"/>
              <w:left w:val="nil"/>
              <w:bottom w:val="nil"/>
              <w:right w:val="nil"/>
            </w:tcBorders>
            <w:shd w:val="clear" w:color="auto" w:fill="auto"/>
            <w:hideMark/>
          </w:tcPr>
          <w:p w14:paraId="6CDCC751" w14:textId="77777777" w:rsidR="0025039A" w:rsidRPr="0025039A" w:rsidRDefault="0025039A" w:rsidP="0025039A">
            <w:pPr>
              <w:jc w:val="left"/>
              <w:rPr>
                <w:rFonts w:cs="Arial"/>
                <w:color w:val="000000"/>
                <w:sz w:val="24"/>
                <w:szCs w:val="24"/>
              </w:rPr>
            </w:pPr>
            <w:r w:rsidRPr="0025039A">
              <w:rPr>
                <w:rFonts w:cs="Arial"/>
                <w:color w:val="000000"/>
                <w:sz w:val="24"/>
                <w:szCs w:val="24"/>
              </w:rPr>
              <w:t xml:space="preserve">Revenue contribution </w:t>
            </w:r>
          </w:p>
        </w:tc>
        <w:tc>
          <w:tcPr>
            <w:tcW w:w="1244" w:type="dxa"/>
            <w:tcBorders>
              <w:top w:val="nil"/>
              <w:left w:val="nil"/>
              <w:bottom w:val="nil"/>
              <w:right w:val="nil"/>
            </w:tcBorders>
            <w:shd w:val="clear" w:color="auto" w:fill="auto"/>
            <w:noWrap/>
            <w:hideMark/>
          </w:tcPr>
          <w:p w14:paraId="6CD765EF" w14:textId="77777777" w:rsidR="0025039A" w:rsidRPr="0025039A" w:rsidRDefault="0025039A" w:rsidP="0025039A">
            <w:pPr>
              <w:jc w:val="center"/>
              <w:rPr>
                <w:rFonts w:cs="Arial"/>
                <w:color w:val="000000"/>
                <w:sz w:val="24"/>
                <w:szCs w:val="24"/>
              </w:rPr>
            </w:pPr>
            <w:r w:rsidRPr="0025039A">
              <w:rPr>
                <w:rFonts w:cs="Arial"/>
                <w:color w:val="000000"/>
                <w:sz w:val="24"/>
                <w:szCs w:val="24"/>
              </w:rPr>
              <w:t>935</w:t>
            </w:r>
          </w:p>
        </w:tc>
        <w:tc>
          <w:tcPr>
            <w:tcW w:w="1244" w:type="dxa"/>
            <w:tcBorders>
              <w:top w:val="nil"/>
              <w:left w:val="nil"/>
              <w:bottom w:val="nil"/>
              <w:right w:val="nil"/>
            </w:tcBorders>
            <w:shd w:val="clear" w:color="auto" w:fill="auto"/>
            <w:noWrap/>
            <w:hideMark/>
          </w:tcPr>
          <w:p w14:paraId="1E6E773D" w14:textId="77777777" w:rsidR="0025039A" w:rsidRPr="0025039A" w:rsidRDefault="0025039A" w:rsidP="0025039A">
            <w:pPr>
              <w:jc w:val="center"/>
              <w:rPr>
                <w:rFonts w:cs="Arial"/>
                <w:color w:val="000000"/>
                <w:sz w:val="24"/>
                <w:szCs w:val="24"/>
              </w:rPr>
            </w:pPr>
            <w:r w:rsidRPr="0025039A">
              <w:rPr>
                <w:rFonts w:cs="Arial"/>
                <w:color w:val="000000"/>
                <w:sz w:val="24"/>
                <w:szCs w:val="24"/>
              </w:rPr>
              <w:t>935</w:t>
            </w:r>
          </w:p>
        </w:tc>
        <w:tc>
          <w:tcPr>
            <w:tcW w:w="1244" w:type="dxa"/>
            <w:tcBorders>
              <w:top w:val="nil"/>
              <w:left w:val="nil"/>
              <w:bottom w:val="nil"/>
              <w:right w:val="nil"/>
            </w:tcBorders>
            <w:shd w:val="clear" w:color="auto" w:fill="auto"/>
            <w:noWrap/>
            <w:hideMark/>
          </w:tcPr>
          <w:p w14:paraId="0EE12AEA" w14:textId="77777777" w:rsidR="0025039A" w:rsidRPr="0025039A" w:rsidRDefault="0025039A" w:rsidP="0025039A">
            <w:pPr>
              <w:jc w:val="center"/>
              <w:rPr>
                <w:rFonts w:cs="Arial"/>
                <w:color w:val="000000"/>
                <w:sz w:val="24"/>
                <w:szCs w:val="24"/>
              </w:rPr>
            </w:pPr>
            <w:r w:rsidRPr="0025039A">
              <w:rPr>
                <w:rFonts w:cs="Arial"/>
                <w:color w:val="000000"/>
                <w:sz w:val="24"/>
                <w:szCs w:val="24"/>
              </w:rPr>
              <w:t>886</w:t>
            </w:r>
          </w:p>
        </w:tc>
      </w:tr>
      <w:tr w:rsidR="0025039A" w:rsidRPr="0025039A" w14:paraId="5B30CC69" w14:textId="77777777" w:rsidTr="0025039A">
        <w:trPr>
          <w:trHeight w:val="288"/>
        </w:trPr>
        <w:tc>
          <w:tcPr>
            <w:tcW w:w="3260" w:type="dxa"/>
            <w:tcBorders>
              <w:top w:val="nil"/>
              <w:left w:val="nil"/>
              <w:bottom w:val="nil"/>
              <w:right w:val="nil"/>
            </w:tcBorders>
            <w:shd w:val="clear" w:color="auto" w:fill="auto"/>
            <w:hideMark/>
          </w:tcPr>
          <w:p w14:paraId="57098A6E" w14:textId="77777777" w:rsidR="0025039A" w:rsidRPr="0025039A" w:rsidRDefault="0025039A" w:rsidP="0025039A">
            <w:pPr>
              <w:jc w:val="left"/>
              <w:rPr>
                <w:rFonts w:cs="Arial"/>
                <w:color w:val="000000"/>
                <w:sz w:val="24"/>
                <w:szCs w:val="24"/>
              </w:rPr>
            </w:pPr>
            <w:r w:rsidRPr="0025039A">
              <w:rPr>
                <w:rFonts w:cs="Arial"/>
                <w:color w:val="000000"/>
                <w:sz w:val="24"/>
                <w:szCs w:val="24"/>
              </w:rPr>
              <w:t>Prudential Borrowing</w:t>
            </w:r>
          </w:p>
        </w:tc>
        <w:tc>
          <w:tcPr>
            <w:tcW w:w="1244" w:type="dxa"/>
            <w:tcBorders>
              <w:top w:val="nil"/>
              <w:left w:val="nil"/>
              <w:bottom w:val="nil"/>
              <w:right w:val="nil"/>
            </w:tcBorders>
            <w:shd w:val="clear" w:color="auto" w:fill="auto"/>
            <w:noWrap/>
            <w:hideMark/>
          </w:tcPr>
          <w:p w14:paraId="2410728F" w14:textId="77777777" w:rsidR="0025039A" w:rsidRPr="0025039A" w:rsidRDefault="0025039A" w:rsidP="0025039A">
            <w:pPr>
              <w:jc w:val="center"/>
              <w:rPr>
                <w:rFonts w:cs="Arial"/>
                <w:color w:val="000000"/>
                <w:sz w:val="24"/>
                <w:szCs w:val="24"/>
              </w:rPr>
            </w:pPr>
            <w:r w:rsidRPr="0025039A">
              <w:rPr>
                <w:rFonts w:cs="Arial"/>
                <w:color w:val="000000"/>
                <w:sz w:val="24"/>
                <w:szCs w:val="24"/>
              </w:rPr>
              <w:t>2,892</w:t>
            </w:r>
          </w:p>
        </w:tc>
        <w:tc>
          <w:tcPr>
            <w:tcW w:w="1244" w:type="dxa"/>
            <w:tcBorders>
              <w:top w:val="nil"/>
              <w:left w:val="nil"/>
              <w:bottom w:val="nil"/>
              <w:right w:val="nil"/>
            </w:tcBorders>
            <w:shd w:val="clear" w:color="auto" w:fill="auto"/>
            <w:noWrap/>
            <w:hideMark/>
          </w:tcPr>
          <w:p w14:paraId="26078E33" w14:textId="77777777" w:rsidR="0025039A" w:rsidRPr="0025039A" w:rsidRDefault="0025039A" w:rsidP="0025039A">
            <w:pPr>
              <w:jc w:val="center"/>
              <w:rPr>
                <w:rFonts w:cs="Arial"/>
                <w:color w:val="000000"/>
                <w:sz w:val="24"/>
                <w:szCs w:val="24"/>
              </w:rPr>
            </w:pPr>
            <w:r w:rsidRPr="0025039A">
              <w:rPr>
                <w:rFonts w:cs="Arial"/>
                <w:color w:val="000000"/>
                <w:sz w:val="24"/>
                <w:szCs w:val="24"/>
              </w:rPr>
              <w:t>0</w:t>
            </w:r>
          </w:p>
        </w:tc>
        <w:tc>
          <w:tcPr>
            <w:tcW w:w="1244" w:type="dxa"/>
            <w:tcBorders>
              <w:top w:val="nil"/>
              <w:left w:val="nil"/>
              <w:bottom w:val="nil"/>
              <w:right w:val="nil"/>
            </w:tcBorders>
            <w:shd w:val="clear" w:color="auto" w:fill="auto"/>
            <w:noWrap/>
            <w:hideMark/>
          </w:tcPr>
          <w:p w14:paraId="0AE7017D" w14:textId="77777777" w:rsidR="0025039A" w:rsidRPr="0025039A" w:rsidRDefault="0025039A" w:rsidP="0025039A">
            <w:pPr>
              <w:jc w:val="center"/>
              <w:rPr>
                <w:rFonts w:cs="Arial"/>
                <w:color w:val="000000"/>
                <w:sz w:val="24"/>
                <w:szCs w:val="24"/>
              </w:rPr>
            </w:pPr>
            <w:r w:rsidRPr="0025039A">
              <w:rPr>
                <w:rFonts w:cs="Arial"/>
                <w:color w:val="000000"/>
                <w:sz w:val="24"/>
                <w:szCs w:val="24"/>
              </w:rPr>
              <w:t>0</w:t>
            </w:r>
          </w:p>
        </w:tc>
      </w:tr>
      <w:tr w:rsidR="0025039A" w:rsidRPr="0025039A" w14:paraId="51593E80" w14:textId="77777777" w:rsidTr="0025039A">
        <w:trPr>
          <w:trHeight w:val="288"/>
        </w:trPr>
        <w:tc>
          <w:tcPr>
            <w:tcW w:w="3260" w:type="dxa"/>
            <w:tcBorders>
              <w:top w:val="nil"/>
              <w:left w:val="nil"/>
              <w:bottom w:val="nil"/>
              <w:right w:val="nil"/>
            </w:tcBorders>
            <w:shd w:val="clear" w:color="auto" w:fill="auto"/>
            <w:hideMark/>
          </w:tcPr>
          <w:p w14:paraId="7A1EB43A" w14:textId="77777777" w:rsidR="0025039A" w:rsidRPr="0025039A" w:rsidRDefault="0025039A" w:rsidP="0025039A">
            <w:pPr>
              <w:jc w:val="left"/>
              <w:rPr>
                <w:rFonts w:cs="Arial"/>
                <w:color w:val="000000"/>
                <w:sz w:val="24"/>
                <w:szCs w:val="24"/>
              </w:rPr>
            </w:pPr>
            <w:r w:rsidRPr="0025039A">
              <w:rPr>
                <w:rFonts w:cs="Arial"/>
                <w:color w:val="000000"/>
                <w:sz w:val="24"/>
                <w:szCs w:val="24"/>
              </w:rPr>
              <w:t>Capital Receipts</w:t>
            </w:r>
          </w:p>
        </w:tc>
        <w:tc>
          <w:tcPr>
            <w:tcW w:w="1244" w:type="dxa"/>
            <w:tcBorders>
              <w:top w:val="nil"/>
              <w:left w:val="nil"/>
              <w:bottom w:val="nil"/>
              <w:right w:val="nil"/>
            </w:tcBorders>
            <w:shd w:val="clear" w:color="auto" w:fill="auto"/>
            <w:noWrap/>
            <w:hideMark/>
          </w:tcPr>
          <w:p w14:paraId="06F51E58" w14:textId="77777777" w:rsidR="0025039A" w:rsidRPr="0025039A" w:rsidRDefault="0025039A" w:rsidP="0025039A">
            <w:pPr>
              <w:jc w:val="center"/>
              <w:rPr>
                <w:rFonts w:cs="Arial"/>
                <w:color w:val="000000"/>
                <w:sz w:val="24"/>
                <w:szCs w:val="24"/>
              </w:rPr>
            </w:pPr>
            <w:r w:rsidRPr="0025039A">
              <w:rPr>
                <w:rFonts w:cs="Arial"/>
                <w:color w:val="000000"/>
                <w:sz w:val="24"/>
                <w:szCs w:val="24"/>
              </w:rPr>
              <w:t>1,745</w:t>
            </w:r>
          </w:p>
        </w:tc>
        <w:tc>
          <w:tcPr>
            <w:tcW w:w="1244" w:type="dxa"/>
            <w:tcBorders>
              <w:top w:val="nil"/>
              <w:left w:val="nil"/>
              <w:bottom w:val="nil"/>
              <w:right w:val="nil"/>
            </w:tcBorders>
            <w:shd w:val="clear" w:color="auto" w:fill="auto"/>
            <w:noWrap/>
            <w:hideMark/>
          </w:tcPr>
          <w:p w14:paraId="0499C075" w14:textId="77777777" w:rsidR="0025039A" w:rsidRPr="0025039A" w:rsidRDefault="0025039A" w:rsidP="0025039A">
            <w:pPr>
              <w:jc w:val="center"/>
              <w:rPr>
                <w:rFonts w:cs="Arial"/>
                <w:color w:val="000000"/>
                <w:sz w:val="24"/>
                <w:szCs w:val="24"/>
              </w:rPr>
            </w:pPr>
            <w:r w:rsidRPr="0025039A">
              <w:rPr>
                <w:rFonts w:cs="Arial"/>
                <w:color w:val="000000"/>
                <w:sz w:val="24"/>
                <w:szCs w:val="24"/>
              </w:rPr>
              <w:t>1,462</w:t>
            </w:r>
          </w:p>
        </w:tc>
        <w:tc>
          <w:tcPr>
            <w:tcW w:w="1244" w:type="dxa"/>
            <w:tcBorders>
              <w:top w:val="nil"/>
              <w:left w:val="nil"/>
              <w:bottom w:val="nil"/>
              <w:right w:val="nil"/>
            </w:tcBorders>
            <w:shd w:val="clear" w:color="auto" w:fill="auto"/>
            <w:noWrap/>
            <w:hideMark/>
          </w:tcPr>
          <w:p w14:paraId="1978FB9C" w14:textId="77777777" w:rsidR="0025039A" w:rsidRPr="0025039A" w:rsidRDefault="0025039A" w:rsidP="0025039A">
            <w:pPr>
              <w:jc w:val="center"/>
              <w:rPr>
                <w:rFonts w:cs="Arial"/>
                <w:color w:val="000000"/>
                <w:sz w:val="24"/>
                <w:szCs w:val="24"/>
              </w:rPr>
            </w:pPr>
            <w:r w:rsidRPr="0025039A">
              <w:rPr>
                <w:rFonts w:cs="Arial"/>
                <w:color w:val="000000"/>
                <w:sz w:val="24"/>
                <w:szCs w:val="24"/>
              </w:rPr>
              <w:t>227</w:t>
            </w:r>
          </w:p>
        </w:tc>
      </w:tr>
      <w:tr w:rsidR="0025039A" w:rsidRPr="0025039A" w14:paraId="7B5ED30E" w14:textId="77777777" w:rsidTr="0025039A">
        <w:trPr>
          <w:trHeight w:val="288"/>
        </w:trPr>
        <w:tc>
          <w:tcPr>
            <w:tcW w:w="3260" w:type="dxa"/>
            <w:tcBorders>
              <w:top w:val="nil"/>
              <w:left w:val="nil"/>
              <w:bottom w:val="nil"/>
              <w:right w:val="nil"/>
            </w:tcBorders>
            <w:shd w:val="clear" w:color="auto" w:fill="auto"/>
            <w:hideMark/>
          </w:tcPr>
          <w:p w14:paraId="67BFA27E" w14:textId="77777777" w:rsidR="0025039A" w:rsidRPr="0025039A" w:rsidRDefault="0025039A" w:rsidP="0025039A">
            <w:pPr>
              <w:jc w:val="left"/>
              <w:rPr>
                <w:rFonts w:cs="Arial"/>
                <w:color w:val="000000"/>
                <w:sz w:val="24"/>
                <w:szCs w:val="24"/>
              </w:rPr>
            </w:pPr>
            <w:r w:rsidRPr="0025039A">
              <w:rPr>
                <w:rFonts w:cs="Arial"/>
                <w:color w:val="000000"/>
                <w:sz w:val="24"/>
                <w:szCs w:val="24"/>
              </w:rPr>
              <w:t xml:space="preserve">Grants and contributions </w:t>
            </w:r>
          </w:p>
        </w:tc>
        <w:tc>
          <w:tcPr>
            <w:tcW w:w="1244" w:type="dxa"/>
            <w:tcBorders>
              <w:top w:val="nil"/>
              <w:left w:val="nil"/>
              <w:bottom w:val="nil"/>
              <w:right w:val="nil"/>
            </w:tcBorders>
            <w:shd w:val="clear" w:color="auto" w:fill="auto"/>
            <w:noWrap/>
            <w:hideMark/>
          </w:tcPr>
          <w:p w14:paraId="3DC9AE7D" w14:textId="77777777" w:rsidR="0025039A" w:rsidRPr="0025039A" w:rsidRDefault="0025039A" w:rsidP="0025039A">
            <w:pPr>
              <w:jc w:val="center"/>
              <w:rPr>
                <w:rFonts w:cs="Arial"/>
                <w:color w:val="000000"/>
                <w:sz w:val="24"/>
                <w:szCs w:val="24"/>
              </w:rPr>
            </w:pPr>
            <w:r w:rsidRPr="0025039A">
              <w:rPr>
                <w:rFonts w:cs="Arial"/>
                <w:color w:val="000000"/>
                <w:sz w:val="24"/>
                <w:szCs w:val="24"/>
              </w:rPr>
              <w:t>1,545</w:t>
            </w:r>
          </w:p>
        </w:tc>
        <w:tc>
          <w:tcPr>
            <w:tcW w:w="1244" w:type="dxa"/>
            <w:tcBorders>
              <w:top w:val="nil"/>
              <w:left w:val="nil"/>
              <w:bottom w:val="nil"/>
              <w:right w:val="nil"/>
            </w:tcBorders>
            <w:shd w:val="clear" w:color="auto" w:fill="auto"/>
            <w:noWrap/>
            <w:hideMark/>
          </w:tcPr>
          <w:p w14:paraId="7D37CEC4" w14:textId="77777777" w:rsidR="0025039A" w:rsidRPr="0025039A" w:rsidRDefault="0025039A" w:rsidP="0025039A">
            <w:pPr>
              <w:jc w:val="center"/>
              <w:rPr>
                <w:rFonts w:cs="Arial"/>
                <w:color w:val="000000"/>
                <w:sz w:val="24"/>
                <w:szCs w:val="24"/>
              </w:rPr>
            </w:pPr>
            <w:r w:rsidRPr="0025039A">
              <w:rPr>
                <w:rFonts w:cs="Arial"/>
                <w:color w:val="000000"/>
                <w:sz w:val="24"/>
                <w:szCs w:val="24"/>
              </w:rPr>
              <w:t>1,005</w:t>
            </w:r>
          </w:p>
        </w:tc>
        <w:tc>
          <w:tcPr>
            <w:tcW w:w="1244" w:type="dxa"/>
            <w:tcBorders>
              <w:top w:val="nil"/>
              <w:left w:val="nil"/>
              <w:bottom w:val="nil"/>
              <w:right w:val="nil"/>
            </w:tcBorders>
            <w:shd w:val="clear" w:color="auto" w:fill="auto"/>
            <w:noWrap/>
            <w:hideMark/>
          </w:tcPr>
          <w:p w14:paraId="610441D8" w14:textId="77777777" w:rsidR="0025039A" w:rsidRPr="0025039A" w:rsidRDefault="0025039A" w:rsidP="0025039A">
            <w:pPr>
              <w:jc w:val="center"/>
              <w:rPr>
                <w:rFonts w:cs="Arial"/>
                <w:color w:val="000000"/>
                <w:sz w:val="24"/>
                <w:szCs w:val="24"/>
              </w:rPr>
            </w:pPr>
            <w:r w:rsidRPr="0025039A">
              <w:rPr>
                <w:rFonts w:cs="Arial"/>
                <w:color w:val="000000"/>
                <w:sz w:val="24"/>
                <w:szCs w:val="24"/>
              </w:rPr>
              <w:t>1,005</w:t>
            </w:r>
          </w:p>
        </w:tc>
      </w:tr>
      <w:tr w:rsidR="0025039A" w:rsidRPr="0025039A" w14:paraId="35CCE5C9" w14:textId="77777777" w:rsidTr="0025039A">
        <w:trPr>
          <w:trHeight w:val="288"/>
        </w:trPr>
        <w:tc>
          <w:tcPr>
            <w:tcW w:w="3260" w:type="dxa"/>
            <w:tcBorders>
              <w:top w:val="nil"/>
              <w:left w:val="nil"/>
              <w:bottom w:val="nil"/>
              <w:right w:val="nil"/>
            </w:tcBorders>
            <w:shd w:val="clear" w:color="auto" w:fill="auto"/>
            <w:hideMark/>
          </w:tcPr>
          <w:p w14:paraId="7FD3CD3F" w14:textId="77777777" w:rsidR="0025039A" w:rsidRPr="0025039A" w:rsidRDefault="0025039A" w:rsidP="0025039A">
            <w:pPr>
              <w:jc w:val="left"/>
              <w:rPr>
                <w:rFonts w:cs="Arial"/>
                <w:color w:val="000000"/>
                <w:sz w:val="24"/>
                <w:szCs w:val="24"/>
              </w:rPr>
            </w:pPr>
            <w:r w:rsidRPr="0025039A">
              <w:rPr>
                <w:rFonts w:cs="Arial"/>
                <w:color w:val="000000"/>
                <w:sz w:val="24"/>
                <w:szCs w:val="24"/>
              </w:rPr>
              <w:t>Reserves</w:t>
            </w:r>
          </w:p>
        </w:tc>
        <w:tc>
          <w:tcPr>
            <w:tcW w:w="1244" w:type="dxa"/>
            <w:tcBorders>
              <w:top w:val="nil"/>
              <w:left w:val="nil"/>
              <w:bottom w:val="nil"/>
              <w:right w:val="nil"/>
            </w:tcBorders>
            <w:shd w:val="clear" w:color="auto" w:fill="auto"/>
            <w:noWrap/>
            <w:hideMark/>
          </w:tcPr>
          <w:p w14:paraId="7B75F22E" w14:textId="77777777" w:rsidR="0025039A" w:rsidRPr="0025039A" w:rsidRDefault="0025039A" w:rsidP="0025039A">
            <w:pPr>
              <w:jc w:val="center"/>
              <w:rPr>
                <w:rFonts w:cs="Arial"/>
                <w:color w:val="000000"/>
                <w:sz w:val="24"/>
                <w:szCs w:val="24"/>
              </w:rPr>
            </w:pPr>
            <w:r w:rsidRPr="0025039A">
              <w:rPr>
                <w:rFonts w:cs="Arial"/>
                <w:color w:val="000000"/>
                <w:sz w:val="24"/>
                <w:szCs w:val="24"/>
              </w:rPr>
              <w:t>1,697</w:t>
            </w:r>
          </w:p>
        </w:tc>
        <w:tc>
          <w:tcPr>
            <w:tcW w:w="1244" w:type="dxa"/>
            <w:tcBorders>
              <w:top w:val="nil"/>
              <w:left w:val="nil"/>
              <w:bottom w:val="nil"/>
              <w:right w:val="nil"/>
            </w:tcBorders>
            <w:shd w:val="clear" w:color="auto" w:fill="auto"/>
            <w:noWrap/>
            <w:hideMark/>
          </w:tcPr>
          <w:p w14:paraId="76D8B822" w14:textId="77777777" w:rsidR="0025039A" w:rsidRPr="0025039A" w:rsidRDefault="0025039A" w:rsidP="0025039A">
            <w:pPr>
              <w:jc w:val="center"/>
              <w:rPr>
                <w:rFonts w:cs="Arial"/>
                <w:color w:val="000000"/>
                <w:sz w:val="24"/>
                <w:szCs w:val="24"/>
              </w:rPr>
            </w:pPr>
            <w:r w:rsidRPr="0025039A">
              <w:rPr>
                <w:rFonts w:cs="Arial"/>
                <w:color w:val="000000"/>
                <w:sz w:val="24"/>
                <w:szCs w:val="24"/>
              </w:rPr>
              <w:t>401</w:t>
            </w:r>
          </w:p>
        </w:tc>
        <w:tc>
          <w:tcPr>
            <w:tcW w:w="1244" w:type="dxa"/>
            <w:tcBorders>
              <w:top w:val="nil"/>
              <w:left w:val="nil"/>
              <w:bottom w:val="nil"/>
              <w:right w:val="nil"/>
            </w:tcBorders>
            <w:shd w:val="clear" w:color="auto" w:fill="auto"/>
            <w:noWrap/>
            <w:hideMark/>
          </w:tcPr>
          <w:p w14:paraId="731CE011" w14:textId="77777777" w:rsidR="0025039A" w:rsidRPr="0025039A" w:rsidRDefault="0025039A" w:rsidP="0025039A">
            <w:pPr>
              <w:jc w:val="center"/>
              <w:rPr>
                <w:rFonts w:cs="Arial"/>
                <w:color w:val="000000"/>
                <w:sz w:val="24"/>
                <w:szCs w:val="24"/>
              </w:rPr>
            </w:pPr>
            <w:r w:rsidRPr="0025039A">
              <w:rPr>
                <w:rFonts w:cs="Arial"/>
                <w:color w:val="000000"/>
                <w:sz w:val="24"/>
                <w:szCs w:val="24"/>
              </w:rPr>
              <w:t>0</w:t>
            </w:r>
          </w:p>
        </w:tc>
      </w:tr>
      <w:tr w:rsidR="0025039A" w:rsidRPr="0025039A" w14:paraId="1811DE69" w14:textId="77777777" w:rsidTr="0025039A">
        <w:trPr>
          <w:trHeight w:val="288"/>
        </w:trPr>
        <w:tc>
          <w:tcPr>
            <w:tcW w:w="3260" w:type="dxa"/>
            <w:tcBorders>
              <w:top w:val="nil"/>
              <w:left w:val="nil"/>
              <w:bottom w:val="nil"/>
              <w:right w:val="nil"/>
            </w:tcBorders>
            <w:shd w:val="clear" w:color="auto" w:fill="auto"/>
            <w:hideMark/>
          </w:tcPr>
          <w:p w14:paraId="1098225E" w14:textId="77777777" w:rsidR="0025039A" w:rsidRPr="0025039A" w:rsidRDefault="0025039A" w:rsidP="0025039A">
            <w:pPr>
              <w:jc w:val="left"/>
              <w:rPr>
                <w:rFonts w:cs="Arial"/>
                <w:color w:val="000000"/>
                <w:sz w:val="24"/>
                <w:szCs w:val="24"/>
              </w:rPr>
            </w:pPr>
            <w:r w:rsidRPr="0025039A">
              <w:rPr>
                <w:rFonts w:cs="Arial"/>
                <w:color w:val="000000"/>
                <w:sz w:val="24"/>
                <w:szCs w:val="24"/>
              </w:rPr>
              <w:t xml:space="preserve">Section 106 </w:t>
            </w:r>
          </w:p>
        </w:tc>
        <w:tc>
          <w:tcPr>
            <w:tcW w:w="1244" w:type="dxa"/>
            <w:tcBorders>
              <w:top w:val="nil"/>
              <w:left w:val="nil"/>
              <w:bottom w:val="single" w:sz="4" w:space="0" w:color="auto"/>
              <w:right w:val="nil"/>
            </w:tcBorders>
            <w:shd w:val="clear" w:color="auto" w:fill="auto"/>
            <w:noWrap/>
            <w:hideMark/>
          </w:tcPr>
          <w:p w14:paraId="376B3B87" w14:textId="77777777" w:rsidR="0025039A" w:rsidRPr="0025039A" w:rsidRDefault="0025039A" w:rsidP="0025039A">
            <w:pPr>
              <w:jc w:val="center"/>
              <w:rPr>
                <w:rFonts w:cs="Arial"/>
                <w:color w:val="000000"/>
                <w:sz w:val="24"/>
                <w:szCs w:val="24"/>
              </w:rPr>
            </w:pPr>
            <w:r w:rsidRPr="0025039A">
              <w:rPr>
                <w:rFonts w:cs="Arial"/>
                <w:color w:val="000000"/>
                <w:sz w:val="24"/>
                <w:szCs w:val="24"/>
              </w:rPr>
              <w:t>276</w:t>
            </w:r>
          </w:p>
        </w:tc>
        <w:tc>
          <w:tcPr>
            <w:tcW w:w="1244" w:type="dxa"/>
            <w:tcBorders>
              <w:top w:val="nil"/>
              <w:left w:val="nil"/>
              <w:bottom w:val="single" w:sz="4" w:space="0" w:color="auto"/>
              <w:right w:val="nil"/>
            </w:tcBorders>
            <w:shd w:val="clear" w:color="auto" w:fill="auto"/>
            <w:noWrap/>
            <w:hideMark/>
          </w:tcPr>
          <w:p w14:paraId="27D7798B" w14:textId="77777777" w:rsidR="0025039A" w:rsidRPr="0025039A" w:rsidRDefault="0025039A" w:rsidP="0025039A">
            <w:pPr>
              <w:jc w:val="center"/>
              <w:rPr>
                <w:rFonts w:cs="Arial"/>
                <w:color w:val="000000"/>
                <w:sz w:val="24"/>
                <w:szCs w:val="24"/>
              </w:rPr>
            </w:pPr>
            <w:r w:rsidRPr="0025039A">
              <w:rPr>
                <w:rFonts w:cs="Arial"/>
                <w:color w:val="000000"/>
                <w:sz w:val="24"/>
                <w:szCs w:val="24"/>
              </w:rPr>
              <w:t>0</w:t>
            </w:r>
          </w:p>
        </w:tc>
        <w:tc>
          <w:tcPr>
            <w:tcW w:w="1244" w:type="dxa"/>
            <w:tcBorders>
              <w:top w:val="nil"/>
              <w:left w:val="nil"/>
              <w:bottom w:val="single" w:sz="4" w:space="0" w:color="auto"/>
              <w:right w:val="nil"/>
            </w:tcBorders>
            <w:shd w:val="clear" w:color="auto" w:fill="auto"/>
            <w:noWrap/>
            <w:hideMark/>
          </w:tcPr>
          <w:p w14:paraId="105E98A0" w14:textId="77777777" w:rsidR="0025039A" w:rsidRPr="0025039A" w:rsidRDefault="0025039A" w:rsidP="0025039A">
            <w:pPr>
              <w:jc w:val="center"/>
              <w:rPr>
                <w:rFonts w:cs="Arial"/>
                <w:color w:val="000000"/>
                <w:sz w:val="24"/>
                <w:szCs w:val="24"/>
              </w:rPr>
            </w:pPr>
            <w:r w:rsidRPr="0025039A">
              <w:rPr>
                <w:rFonts w:cs="Arial"/>
                <w:color w:val="000000"/>
                <w:sz w:val="24"/>
                <w:szCs w:val="24"/>
              </w:rPr>
              <w:t>0</w:t>
            </w:r>
          </w:p>
        </w:tc>
      </w:tr>
      <w:tr w:rsidR="0025039A" w:rsidRPr="0025039A" w14:paraId="4E9551C6" w14:textId="77777777" w:rsidTr="0025039A">
        <w:trPr>
          <w:trHeight w:val="288"/>
        </w:trPr>
        <w:tc>
          <w:tcPr>
            <w:tcW w:w="3260" w:type="dxa"/>
            <w:tcBorders>
              <w:top w:val="nil"/>
              <w:left w:val="nil"/>
              <w:bottom w:val="nil"/>
              <w:right w:val="nil"/>
            </w:tcBorders>
            <w:shd w:val="clear" w:color="auto" w:fill="auto"/>
            <w:hideMark/>
          </w:tcPr>
          <w:p w14:paraId="008E2309" w14:textId="77777777" w:rsidR="0025039A" w:rsidRPr="0025039A" w:rsidRDefault="0025039A" w:rsidP="0025039A">
            <w:pPr>
              <w:jc w:val="left"/>
              <w:rPr>
                <w:rFonts w:cs="Arial"/>
                <w:b/>
                <w:bCs/>
                <w:color w:val="000000"/>
                <w:sz w:val="24"/>
                <w:szCs w:val="24"/>
              </w:rPr>
            </w:pPr>
            <w:r w:rsidRPr="0025039A">
              <w:rPr>
                <w:rFonts w:cs="Arial"/>
                <w:b/>
                <w:bCs/>
                <w:color w:val="000000"/>
                <w:sz w:val="24"/>
                <w:szCs w:val="24"/>
              </w:rPr>
              <w:t>General Fund Funding</w:t>
            </w:r>
          </w:p>
        </w:tc>
        <w:tc>
          <w:tcPr>
            <w:tcW w:w="1244" w:type="dxa"/>
            <w:tcBorders>
              <w:top w:val="nil"/>
              <w:left w:val="nil"/>
              <w:bottom w:val="nil"/>
              <w:right w:val="nil"/>
            </w:tcBorders>
            <w:shd w:val="clear" w:color="auto" w:fill="auto"/>
            <w:noWrap/>
            <w:hideMark/>
          </w:tcPr>
          <w:p w14:paraId="67E2CF48" w14:textId="77777777" w:rsidR="0025039A" w:rsidRPr="0025039A" w:rsidRDefault="0025039A" w:rsidP="0025039A">
            <w:pPr>
              <w:jc w:val="center"/>
              <w:rPr>
                <w:rFonts w:cs="Arial"/>
                <w:b/>
                <w:bCs/>
                <w:color w:val="000000"/>
                <w:sz w:val="24"/>
                <w:szCs w:val="24"/>
              </w:rPr>
            </w:pPr>
            <w:r w:rsidRPr="0025039A">
              <w:rPr>
                <w:rFonts w:cs="Arial"/>
                <w:b/>
                <w:bCs/>
                <w:color w:val="000000"/>
                <w:sz w:val="24"/>
                <w:szCs w:val="24"/>
              </w:rPr>
              <w:t>9,090</w:t>
            </w:r>
          </w:p>
        </w:tc>
        <w:tc>
          <w:tcPr>
            <w:tcW w:w="1244" w:type="dxa"/>
            <w:tcBorders>
              <w:top w:val="nil"/>
              <w:left w:val="nil"/>
              <w:bottom w:val="nil"/>
              <w:right w:val="nil"/>
            </w:tcBorders>
            <w:shd w:val="clear" w:color="auto" w:fill="auto"/>
            <w:noWrap/>
            <w:hideMark/>
          </w:tcPr>
          <w:p w14:paraId="0336F426" w14:textId="77777777" w:rsidR="0025039A" w:rsidRPr="0025039A" w:rsidRDefault="0025039A" w:rsidP="0025039A">
            <w:pPr>
              <w:jc w:val="center"/>
              <w:rPr>
                <w:rFonts w:cs="Arial"/>
                <w:b/>
                <w:bCs/>
                <w:color w:val="000000"/>
                <w:sz w:val="24"/>
                <w:szCs w:val="24"/>
              </w:rPr>
            </w:pPr>
            <w:r w:rsidRPr="0025039A">
              <w:rPr>
                <w:rFonts w:cs="Arial"/>
                <w:b/>
                <w:bCs/>
                <w:color w:val="000000"/>
                <w:sz w:val="24"/>
                <w:szCs w:val="24"/>
              </w:rPr>
              <w:t>3,803</w:t>
            </w:r>
          </w:p>
        </w:tc>
        <w:tc>
          <w:tcPr>
            <w:tcW w:w="1244" w:type="dxa"/>
            <w:tcBorders>
              <w:top w:val="nil"/>
              <w:left w:val="nil"/>
              <w:bottom w:val="nil"/>
              <w:right w:val="nil"/>
            </w:tcBorders>
            <w:shd w:val="clear" w:color="auto" w:fill="auto"/>
            <w:noWrap/>
            <w:hideMark/>
          </w:tcPr>
          <w:p w14:paraId="6E40FF76" w14:textId="77777777" w:rsidR="0025039A" w:rsidRPr="0025039A" w:rsidRDefault="0025039A" w:rsidP="0025039A">
            <w:pPr>
              <w:jc w:val="center"/>
              <w:rPr>
                <w:rFonts w:cs="Arial"/>
                <w:b/>
                <w:bCs/>
                <w:color w:val="000000"/>
                <w:sz w:val="24"/>
                <w:szCs w:val="24"/>
              </w:rPr>
            </w:pPr>
            <w:r w:rsidRPr="0025039A">
              <w:rPr>
                <w:rFonts w:cs="Arial"/>
                <w:b/>
                <w:bCs/>
                <w:color w:val="000000"/>
                <w:sz w:val="24"/>
                <w:szCs w:val="24"/>
              </w:rPr>
              <w:t>2,118</w:t>
            </w:r>
          </w:p>
        </w:tc>
      </w:tr>
    </w:tbl>
    <w:p w14:paraId="511CAB02" w14:textId="53D95094" w:rsidR="004C75D6" w:rsidRDefault="004C75D6" w:rsidP="00BC160C">
      <w:pPr>
        <w:ind w:left="851" w:hanging="851"/>
        <w:jc w:val="center"/>
        <w:rPr>
          <w:rFonts w:cs="Arial"/>
          <w:sz w:val="24"/>
          <w:szCs w:val="24"/>
        </w:rPr>
      </w:pPr>
    </w:p>
    <w:p w14:paraId="781BCACC" w14:textId="3246431E" w:rsidR="00BC160C" w:rsidRDefault="00BC160C" w:rsidP="003C69B7">
      <w:pPr>
        <w:jc w:val="left"/>
        <w:rPr>
          <w:rFonts w:cs="Arial"/>
          <w:sz w:val="24"/>
          <w:szCs w:val="24"/>
        </w:rPr>
      </w:pPr>
    </w:p>
    <w:p w14:paraId="4293729B" w14:textId="126F528D" w:rsidR="00BC160C" w:rsidRDefault="00BC160C" w:rsidP="0042101C">
      <w:pPr>
        <w:ind w:left="851" w:hanging="851"/>
        <w:jc w:val="left"/>
        <w:rPr>
          <w:sz w:val="24"/>
          <w:szCs w:val="24"/>
        </w:rPr>
      </w:pPr>
      <w:r w:rsidRPr="009762E4">
        <w:rPr>
          <w:sz w:val="24"/>
          <w:szCs w:val="24"/>
        </w:rPr>
        <w:t>3.</w:t>
      </w:r>
      <w:r w:rsidR="0017654C">
        <w:rPr>
          <w:sz w:val="24"/>
          <w:szCs w:val="24"/>
        </w:rPr>
        <w:t>6</w:t>
      </w:r>
      <w:r>
        <w:rPr>
          <w:sz w:val="24"/>
          <w:szCs w:val="24"/>
        </w:rPr>
        <w:t>.</w:t>
      </w:r>
      <w:r w:rsidRPr="009762E4">
        <w:rPr>
          <w:sz w:val="24"/>
          <w:szCs w:val="24"/>
        </w:rPr>
        <w:t>2.2</w:t>
      </w:r>
      <w:r w:rsidRPr="009762E4">
        <w:rPr>
          <w:sz w:val="24"/>
          <w:szCs w:val="24"/>
        </w:rPr>
        <w:tab/>
        <w:t xml:space="preserve">A breakdown of the individual capital schemes is provided in </w:t>
      </w:r>
      <w:r w:rsidRPr="00E33107">
        <w:rPr>
          <w:sz w:val="24"/>
          <w:szCs w:val="24"/>
        </w:rPr>
        <w:t xml:space="preserve">Appendix </w:t>
      </w:r>
      <w:r w:rsidR="00755F99">
        <w:rPr>
          <w:sz w:val="24"/>
          <w:szCs w:val="24"/>
        </w:rPr>
        <w:t>4</w:t>
      </w:r>
      <w:r w:rsidRPr="00E33107">
        <w:rPr>
          <w:sz w:val="24"/>
          <w:szCs w:val="24"/>
        </w:rPr>
        <w:t xml:space="preserve"> of this report.</w:t>
      </w:r>
    </w:p>
    <w:p w14:paraId="4D06A900" w14:textId="77777777" w:rsidR="0042101C" w:rsidRPr="0042101C" w:rsidRDefault="0042101C" w:rsidP="0042101C">
      <w:pPr>
        <w:ind w:left="851" w:hanging="851"/>
        <w:jc w:val="left"/>
        <w:rPr>
          <w:sz w:val="24"/>
          <w:szCs w:val="24"/>
        </w:rPr>
      </w:pPr>
    </w:p>
    <w:p w14:paraId="2DA077C8" w14:textId="77777777" w:rsidR="003233D5" w:rsidRPr="00E33107" w:rsidRDefault="003233D5" w:rsidP="006647A6">
      <w:pPr>
        <w:ind w:left="851" w:hanging="851"/>
        <w:jc w:val="left"/>
        <w:rPr>
          <w:rFonts w:cs="Arial"/>
          <w:sz w:val="24"/>
          <w:szCs w:val="24"/>
        </w:rPr>
      </w:pPr>
    </w:p>
    <w:p w14:paraId="001FF479" w14:textId="323AA088" w:rsidR="00BC160C" w:rsidRPr="00E33107" w:rsidRDefault="00BC160C" w:rsidP="006647A6">
      <w:pPr>
        <w:ind w:left="851" w:hanging="851"/>
        <w:jc w:val="left"/>
        <w:rPr>
          <w:rFonts w:cs="Arial"/>
          <w:b/>
          <w:sz w:val="24"/>
          <w:szCs w:val="24"/>
        </w:rPr>
      </w:pPr>
      <w:r w:rsidRPr="00E33107">
        <w:rPr>
          <w:rFonts w:cs="Arial"/>
          <w:sz w:val="24"/>
          <w:szCs w:val="24"/>
        </w:rPr>
        <w:t>3.</w:t>
      </w:r>
      <w:r w:rsidR="0017654C">
        <w:rPr>
          <w:rFonts w:cs="Arial"/>
          <w:sz w:val="24"/>
          <w:szCs w:val="24"/>
        </w:rPr>
        <w:t>6</w:t>
      </w:r>
      <w:r w:rsidRPr="00E33107">
        <w:rPr>
          <w:rFonts w:cs="Arial"/>
          <w:sz w:val="24"/>
          <w:szCs w:val="24"/>
        </w:rPr>
        <w:t>.3</w:t>
      </w:r>
      <w:r w:rsidRPr="00E33107">
        <w:rPr>
          <w:rFonts w:cs="Arial"/>
          <w:sz w:val="24"/>
          <w:szCs w:val="24"/>
        </w:rPr>
        <w:tab/>
      </w:r>
      <w:r w:rsidRPr="00E33107">
        <w:rPr>
          <w:rFonts w:cs="Arial"/>
          <w:b/>
          <w:sz w:val="24"/>
          <w:szCs w:val="24"/>
        </w:rPr>
        <w:t>Housing Revenue Account (HRA)</w:t>
      </w:r>
    </w:p>
    <w:p w14:paraId="64F27E00" w14:textId="77777777" w:rsidR="00BC160C" w:rsidRPr="00E33107" w:rsidRDefault="00BC160C" w:rsidP="006647A6">
      <w:pPr>
        <w:ind w:left="851" w:hanging="851"/>
        <w:jc w:val="left"/>
        <w:rPr>
          <w:rFonts w:cs="Arial"/>
          <w:sz w:val="24"/>
          <w:szCs w:val="24"/>
        </w:rPr>
      </w:pPr>
    </w:p>
    <w:p w14:paraId="45D8C11C" w14:textId="56AD2434" w:rsidR="00BC160C" w:rsidRPr="00E33107" w:rsidRDefault="00BC160C" w:rsidP="006647A6">
      <w:pPr>
        <w:ind w:left="851" w:hanging="851"/>
        <w:jc w:val="left"/>
        <w:rPr>
          <w:rFonts w:cs="Arial"/>
          <w:sz w:val="24"/>
          <w:szCs w:val="24"/>
        </w:rPr>
      </w:pPr>
      <w:r w:rsidRPr="00E33107">
        <w:rPr>
          <w:rFonts w:cs="Arial"/>
          <w:sz w:val="24"/>
          <w:szCs w:val="24"/>
        </w:rPr>
        <w:lastRenderedPageBreak/>
        <w:t>3.</w:t>
      </w:r>
      <w:r w:rsidR="0017654C">
        <w:rPr>
          <w:rFonts w:cs="Arial"/>
          <w:sz w:val="24"/>
          <w:szCs w:val="24"/>
        </w:rPr>
        <w:t>6</w:t>
      </w:r>
      <w:r w:rsidRPr="00E33107">
        <w:rPr>
          <w:rFonts w:cs="Arial"/>
          <w:sz w:val="24"/>
          <w:szCs w:val="24"/>
        </w:rPr>
        <w:t>.3.1</w:t>
      </w:r>
      <w:r w:rsidRPr="00E33107">
        <w:rPr>
          <w:rFonts w:cs="Arial"/>
          <w:sz w:val="24"/>
          <w:szCs w:val="24"/>
        </w:rPr>
        <w:tab/>
        <w:t>The Housing Revenue Account Capital Programme reflects the expenditure to maintain the decency of the Councils housing stock and also to undertake other areas of general improvement. In addition to capital works on the existing housing stock and the completion of the current new build and conversion schemes the Council has approved a programme of new b</w:t>
      </w:r>
      <w:r w:rsidR="004C75D6">
        <w:rPr>
          <w:rFonts w:cs="Arial"/>
          <w:sz w:val="24"/>
          <w:szCs w:val="24"/>
        </w:rPr>
        <w:t>uild schemes totalling £54.2</w:t>
      </w:r>
      <w:r w:rsidRPr="00E33107">
        <w:rPr>
          <w:rFonts w:cs="Arial"/>
          <w:sz w:val="24"/>
          <w:szCs w:val="24"/>
        </w:rPr>
        <w:t>million.</w:t>
      </w:r>
    </w:p>
    <w:p w14:paraId="277521BF" w14:textId="77777777" w:rsidR="00BC160C" w:rsidRPr="00E33107" w:rsidRDefault="00BC160C" w:rsidP="006647A6">
      <w:pPr>
        <w:ind w:left="851" w:hanging="851"/>
        <w:jc w:val="left"/>
        <w:rPr>
          <w:rFonts w:cs="Arial"/>
          <w:sz w:val="24"/>
          <w:szCs w:val="24"/>
        </w:rPr>
      </w:pPr>
      <w:r w:rsidRPr="00E33107">
        <w:rPr>
          <w:rFonts w:cs="Arial"/>
          <w:sz w:val="24"/>
          <w:szCs w:val="24"/>
        </w:rPr>
        <w:tab/>
      </w:r>
    </w:p>
    <w:p w14:paraId="539C564E" w14:textId="56778674" w:rsidR="00BC160C" w:rsidRDefault="00BC160C" w:rsidP="006647A6">
      <w:pPr>
        <w:ind w:left="851" w:hanging="851"/>
        <w:jc w:val="left"/>
        <w:rPr>
          <w:rFonts w:cs="Arial"/>
          <w:sz w:val="24"/>
          <w:szCs w:val="24"/>
        </w:rPr>
      </w:pPr>
      <w:r w:rsidRPr="00E33107">
        <w:rPr>
          <w:rFonts w:cs="Arial"/>
          <w:sz w:val="24"/>
          <w:szCs w:val="24"/>
        </w:rPr>
        <w:t>3.</w:t>
      </w:r>
      <w:r w:rsidR="0017654C">
        <w:rPr>
          <w:rFonts w:cs="Arial"/>
          <w:sz w:val="24"/>
          <w:szCs w:val="24"/>
        </w:rPr>
        <w:t>6</w:t>
      </w:r>
      <w:r w:rsidRPr="00E33107">
        <w:rPr>
          <w:rFonts w:cs="Arial"/>
          <w:sz w:val="24"/>
          <w:szCs w:val="24"/>
        </w:rPr>
        <w:t>.3.2</w:t>
      </w:r>
      <w:r w:rsidRPr="00E33107">
        <w:rPr>
          <w:rFonts w:cs="Arial"/>
          <w:sz w:val="24"/>
          <w:szCs w:val="24"/>
        </w:rPr>
        <w:tab/>
        <w:t xml:space="preserve">Table </w:t>
      </w:r>
      <w:r w:rsidR="00755F99">
        <w:rPr>
          <w:rFonts w:cs="Arial"/>
          <w:sz w:val="24"/>
          <w:szCs w:val="24"/>
        </w:rPr>
        <w:t>4</w:t>
      </w:r>
      <w:r w:rsidR="002E36DD" w:rsidRPr="00E33107">
        <w:rPr>
          <w:rFonts w:cs="Arial"/>
          <w:sz w:val="24"/>
          <w:szCs w:val="24"/>
        </w:rPr>
        <w:t xml:space="preserve"> </w:t>
      </w:r>
      <w:r w:rsidRPr="00E33107">
        <w:rPr>
          <w:rFonts w:cs="Arial"/>
          <w:sz w:val="24"/>
          <w:szCs w:val="24"/>
        </w:rPr>
        <w:t xml:space="preserve">below shows the </w:t>
      </w:r>
      <w:r w:rsidR="00BB22BA">
        <w:rPr>
          <w:rFonts w:cs="Arial"/>
          <w:sz w:val="24"/>
          <w:szCs w:val="24"/>
        </w:rPr>
        <w:t>proposed</w:t>
      </w:r>
      <w:r w:rsidRPr="00E33107">
        <w:rPr>
          <w:rFonts w:cs="Arial"/>
          <w:sz w:val="24"/>
          <w:szCs w:val="24"/>
        </w:rPr>
        <w:t xml:space="preserve"> Housing Revenue Account</w:t>
      </w:r>
      <w:r w:rsidRPr="00F62A2B">
        <w:rPr>
          <w:rFonts w:cs="Arial"/>
          <w:sz w:val="24"/>
          <w:szCs w:val="24"/>
        </w:rPr>
        <w:t xml:space="preserve"> Capital Programme</w:t>
      </w:r>
      <w:r>
        <w:rPr>
          <w:rFonts w:cs="Arial"/>
          <w:sz w:val="24"/>
          <w:szCs w:val="24"/>
        </w:rPr>
        <w:t xml:space="preserve"> for the next three years from 202</w:t>
      </w:r>
      <w:r w:rsidR="0042101C">
        <w:rPr>
          <w:rFonts w:cs="Arial"/>
          <w:sz w:val="24"/>
          <w:szCs w:val="24"/>
        </w:rPr>
        <w:t>1</w:t>
      </w:r>
      <w:r>
        <w:rPr>
          <w:rFonts w:cs="Arial"/>
          <w:sz w:val="24"/>
          <w:szCs w:val="24"/>
        </w:rPr>
        <w:t>/2</w:t>
      </w:r>
      <w:r w:rsidR="0042101C">
        <w:rPr>
          <w:rFonts w:cs="Arial"/>
          <w:sz w:val="24"/>
          <w:szCs w:val="24"/>
        </w:rPr>
        <w:t>2</w:t>
      </w:r>
      <w:r>
        <w:rPr>
          <w:rFonts w:cs="Arial"/>
          <w:sz w:val="24"/>
          <w:szCs w:val="24"/>
        </w:rPr>
        <w:t xml:space="preserve"> </w:t>
      </w:r>
      <w:r w:rsidRPr="002302AB">
        <w:rPr>
          <w:rFonts w:cs="Arial"/>
          <w:sz w:val="24"/>
          <w:szCs w:val="24"/>
        </w:rPr>
        <w:t xml:space="preserve">to </w:t>
      </w:r>
      <w:r>
        <w:rPr>
          <w:rFonts w:cs="Arial"/>
          <w:sz w:val="24"/>
          <w:szCs w:val="24"/>
        </w:rPr>
        <w:t>202</w:t>
      </w:r>
      <w:r w:rsidR="0042101C">
        <w:rPr>
          <w:rFonts w:cs="Arial"/>
          <w:sz w:val="24"/>
          <w:szCs w:val="24"/>
        </w:rPr>
        <w:t>3</w:t>
      </w:r>
      <w:r>
        <w:rPr>
          <w:rFonts w:cs="Arial"/>
          <w:sz w:val="24"/>
          <w:szCs w:val="24"/>
        </w:rPr>
        <w:t>/2</w:t>
      </w:r>
      <w:r w:rsidR="0042101C">
        <w:rPr>
          <w:rFonts w:cs="Arial"/>
          <w:sz w:val="24"/>
          <w:szCs w:val="24"/>
        </w:rPr>
        <w:t xml:space="preserve">4 </w:t>
      </w:r>
      <w:r>
        <w:rPr>
          <w:rFonts w:cs="Arial"/>
          <w:sz w:val="24"/>
          <w:szCs w:val="24"/>
        </w:rPr>
        <w:t>together with the sources of funding.</w:t>
      </w:r>
    </w:p>
    <w:p w14:paraId="53F5E43C" w14:textId="5C9643BC" w:rsidR="00BC160C" w:rsidRDefault="00BC160C" w:rsidP="006647A6">
      <w:pPr>
        <w:jc w:val="left"/>
        <w:rPr>
          <w:rFonts w:cs="Arial"/>
          <w:sz w:val="24"/>
          <w:szCs w:val="24"/>
        </w:rPr>
      </w:pPr>
    </w:p>
    <w:p w14:paraId="449BE85C" w14:textId="2C2DEF9C" w:rsidR="000B0599" w:rsidRDefault="000B0599" w:rsidP="006647A6">
      <w:pPr>
        <w:jc w:val="left"/>
        <w:rPr>
          <w:rFonts w:cs="Arial"/>
          <w:sz w:val="24"/>
          <w:szCs w:val="24"/>
        </w:rPr>
      </w:pPr>
    </w:p>
    <w:p w14:paraId="215E9445" w14:textId="77777777" w:rsidR="00DA7386" w:rsidRDefault="00DA7386">
      <w:r>
        <w:br w:type="page"/>
      </w:r>
    </w:p>
    <w:tbl>
      <w:tblPr>
        <w:tblW w:w="6992" w:type="dxa"/>
        <w:tblInd w:w="852" w:type="dxa"/>
        <w:tblLook w:val="04A0" w:firstRow="1" w:lastRow="0" w:firstColumn="1" w:lastColumn="0" w:noHBand="0" w:noVBand="1"/>
      </w:tblPr>
      <w:tblGrid>
        <w:gridCol w:w="3260"/>
        <w:gridCol w:w="1244"/>
        <w:gridCol w:w="1244"/>
        <w:gridCol w:w="1244"/>
      </w:tblGrid>
      <w:tr w:rsidR="000B0599" w:rsidRPr="000B0599" w14:paraId="3B4AD6E9" w14:textId="77777777" w:rsidTr="000B0599">
        <w:trPr>
          <w:trHeight w:val="288"/>
        </w:trPr>
        <w:tc>
          <w:tcPr>
            <w:tcW w:w="6992" w:type="dxa"/>
            <w:gridSpan w:val="4"/>
            <w:tcBorders>
              <w:top w:val="nil"/>
              <w:left w:val="nil"/>
              <w:bottom w:val="nil"/>
              <w:right w:val="nil"/>
            </w:tcBorders>
            <w:shd w:val="clear" w:color="auto" w:fill="auto"/>
            <w:noWrap/>
            <w:hideMark/>
          </w:tcPr>
          <w:p w14:paraId="5B613569" w14:textId="6DA9ACFF" w:rsidR="000B0599" w:rsidRPr="000B0599" w:rsidRDefault="000B0599" w:rsidP="000B0599">
            <w:pPr>
              <w:jc w:val="center"/>
              <w:rPr>
                <w:rFonts w:cs="Arial"/>
                <w:color w:val="000000"/>
                <w:sz w:val="24"/>
                <w:szCs w:val="24"/>
              </w:rPr>
            </w:pPr>
            <w:r w:rsidRPr="000B0599">
              <w:rPr>
                <w:rFonts w:cs="Arial"/>
                <w:color w:val="000000"/>
                <w:sz w:val="24"/>
                <w:szCs w:val="24"/>
              </w:rPr>
              <w:lastRenderedPageBreak/>
              <w:t>Table 4</w:t>
            </w:r>
          </w:p>
        </w:tc>
      </w:tr>
      <w:tr w:rsidR="000B0599" w:rsidRPr="000B0599" w14:paraId="0A67C98C" w14:textId="77777777" w:rsidTr="000B0599">
        <w:trPr>
          <w:trHeight w:val="288"/>
        </w:trPr>
        <w:tc>
          <w:tcPr>
            <w:tcW w:w="3260" w:type="dxa"/>
            <w:tcBorders>
              <w:top w:val="nil"/>
              <w:left w:val="nil"/>
              <w:bottom w:val="nil"/>
              <w:right w:val="nil"/>
            </w:tcBorders>
            <w:shd w:val="clear" w:color="auto" w:fill="auto"/>
            <w:noWrap/>
            <w:hideMark/>
          </w:tcPr>
          <w:p w14:paraId="41237359" w14:textId="77777777" w:rsidR="000B0599" w:rsidRPr="000B0599" w:rsidRDefault="000B0599" w:rsidP="000B0599">
            <w:pPr>
              <w:jc w:val="center"/>
              <w:rPr>
                <w:rFonts w:cs="Arial"/>
                <w:color w:val="000000"/>
                <w:sz w:val="24"/>
                <w:szCs w:val="24"/>
              </w:rPr>
            </w:pPr>
          </w:p>
        </w:tc>
        <w:tc>
          <w:tcPr>
            <w:tcW w:w="1244" w:type="dxa"/>
            <w:tcBorders>
              <w:top w:val="nil"/>
              <w:left w:val="nil"/>
              <w:bottom w:val="nil"/>
              <w:right w:val="nil"/>
            </w:tcBorders>
            <w:shd w:val="clear" w:color="auto" w:fill="auto"/>
            <w:noWrap/>
            <w:hideMark/>
          </w:tcPr>
          <w:p w14:paraId="080CFAD9" w14:textId="77777777" w:rsidR="000B0599" w:rsidRPr="000B0599" w:rsidRDefault="000B0599" w:rsidP="000B0599">
            <w:pPr>
              <w:jc w:val="center"/>
              <w:rPr>
                <w:rFonts w:cs="Arial"/>
                <w:sz w:val="24"/>
                <w:szCs w:val="24"/>
              </w:rPr>
            </w:pPr>
          </w:p>
        </w:tc>
        <w:tc>
          <w:tcPr>
            <w:tcW w:w="1244" w:type="dxa"/>
            <w:tcBorders>
              <w:top w:val="nil"/>
              <w:left w:val="nil"/>
              <w:bottom w:val="nil"/>
              <w:right w:val="nil"/>
            </w:tcBorders>
            <w:shd w:val="clear" w:color="auto" w:fill="auto"/>
            <w:noWrap/>
            <w:hideMark/>
          </w:tcPr>
          <w:p w14:paraId="74FFFE51" w14:textId="77777777" w:rsidR="000B0599" w:rsidRPr="000B0599" w:rsidRDefault="000B0599" w:rsidP="000B0599">
            <w:pPr>
              <w:jc w:val="center"/>
              <w:rPr>
                <w:rFonts w:cs="Arial"/>
                <w:sz w:val="24"/>
                <w:szCs w:val="24"/>
              </w:rPr>
            </w:pPr>
          </w:p>
        </w:tc>
        <w:tc>
          <w:tcPr>
            <w:tcW w:w="1244" w:type="dxa"/>
            <w:tcBorders>
              <w:top w:val="nil"/>
              <w:left w:val="nil"/>
              <w:bottom w:val="nil"/>
              <w:right w:val="nil"/>
            </w:tcBorders>
            <w:shd w:val="clear" w:color="auto" w:fill="auto"/>
            <w:noWrap/>
            <w:hideMark/>
          </w:tcPr>
          <w:p w14:paraId="1BCC5F11" w14:textId="77777777" w:rsidR="000B0599" w:rsidRPr="000B0599" w:rsidRDefault="000B0599" w:rsidP="000B0599">
            <w:pPr>
              <w:jc w:val="center"/>
              <w:rPr>
                <w:rFonts w:cs="Arial"/>
                <w:sz w:val="24"/>
                <w:szCs w:val="24"/>
              </w:rPr>
            </w:pPr>
          </w:p>
        </w:tc>
      </w:tr>
      <w:tr w:rsidR="000B0599" w:rsidRPr="000B0599" w14:paraId="6B9FD900" w14:textId="77777777" w:rsidTr="000B0599">
        <w:trPr>
          <w:trHeight w:val="288"/>
        </w:trPr>
        <w:tc>
          <w:tcPr>
            <w:tcW w:w="3260" w:type="dxa"/>
            <w:tcBorders>
              <w:top w:val="single" w:sz="4" w:space="0" w:color="auto"/>
              <w:left w:val="nil"/>
              <w:bottom w:val="nil"/>
              <w:right w:val="nil"/>
            </w:tcBorders>
            <w:shd w:val="clear" w:color="auto" w:fill="auto"/>
            <w:noWrap/>
            <w:hideMark/>
          </w:tcPr>
          <w:p w14:paraId="4AABC671" w14:textId="77777777" w:rsidR="000B0599" w:rsidRPr="000B0599" w:rsidRDefault="000B0599" w:rsidP="000B0599">
            <w:pPr>
              <w:jc w:val="left"/>
              <w:rPr>
                <w:rFonts w:cs="Arial"/>
                <w:color w:val="000000"/>
                <w:sz w:val="24"/>
                <w:szCs w:val="24"/>
              </w:rPr>
            </w:pPr>
            <w:r w:rsidRPr="000B0599">
              <w:rPr>
                <w:rFonts w:cs="Arial"/>
                <w:color w:val="000000"/>
                <w:sz w:val="24"/>
                <w:szCs w:val="24"/>
              </w:rPr>
              <w:t> </w:t>
            </w:r>
          </w:p>
        </w:tc>
        <w:tc>
          <w:tcPr>
            <w:tcW w:w="1244" w:type="dxa"/>
            <w:tcBorders>
              <w:top w:val="single" w:sz="4" w:space="0" w:color="auto"/>
              <w:left w:val="nil"/>
              <w:bottom w:val="nil"/>
              <w:right w:val="nil"/>
            </w:tcBorders>
            <w:shd w:val="clear" w:color="auto" w:fill="auto"/>
            <w:noWrap/>
            <w:hideMark/>
          </w:tcPr>
          <w:p w14:paraId="3AE8BAF0" w14:textId="77777777" w:rsidR="000B0599" w:rsidRPr="000B0599" w:rsidRDefault="000B0599" w:rsidP="000B0599">
            <w:pPr>
              <w:jc w:val="left"/>
              <w:rPr>
                <w:rFonts w:cs="Arial"/>
                <w:color w:val="000000"/>
                <w:sz w:val="24"/>
                <w:szCs w:val="24"/>
              </w:rPr>
            </w:pPr>
            <w:r w:rsidRPr="000B0599">
              <w:rPr>
                <w:rFonts w:cs="Arial"/>
                <w:color w:val="000000"/>
                <w:sz w:val="24"/>
                <w:szCs w:val="24"/>
              </w:rPr>
              <w:t>Proposed</w:t>
            </w:r>
          </w:p>
        </w:tc>
        <w:tc>
          <w:tcPr>
            <w:tcW w:w="1244" w:type="dxa"/>
            <w:tcBorders>
              <w:top w:val="single" w:sz="4" w:space="0" w:color="auto"/>
              <w:left w:val="nil"/>
              <w:bottom w:val="nil"/>
              <w:right w:val="nil"/>
            </w:tcBorders>
            <w:shd w:val="clear" w:color="auto" w:fill="auto"/>
            <w:noWrap/>
            <w:hideMark/>
          </w:tcPr>
          <w:p w14:paraId="0D585385" w14:textId="77777777" w:rsidR="000B0599" w:rsidRPr="000B0599" w:rsidRDefault="000B0599" w:rsidP="000B0599">
            <w:pPr>
              <w:jc w:val="left"/>
              <w:rPr>
                <w:rFonts w:cs="Arial"/>
                <w:color w:val="000000"/>
                <w:sz w:val="24"/>
                <w:szCs w:val="24"/>
              </w:rPr>
            </w:pPr>
            <w:r w:rsidRPr="000B0599">
              <w:rPr>
                <w:rFonts w:cs="Arial"/>
                <w:color w:val="000000"/>
                <w:sz w:val="24"/>
                <w:szCs w:val="24"/>
              </w:rPr>
              <w:t>Proposed</w:t>
            </w:r>
          </w:p>
        </w:tc>
        <w:tc>
          <w:tcPr>
            <w:tcW w:w="1244" w:type="dxa"/>
            <w:tcBorders>
              <w:top w:val="single" w:sz="4" w:space="0" w:color="auto"/>
              <w:left w:val="nil"/>
              <w:bottom w:val="nil"/>
              <w:right w:val="nil"/>
            </w:tcBorders>
            <w:shd w:val="clear" w:color="auto" w:fill="auto"/>
            <w:noWrap/>
            <w:hideMark/>
          </w:tcPr>
          <w:p w14:paraId="1088CFFD" w14:textId="77777777" w:rsidR="000B0599" w:rsidRPr="000B0599" w:rsidRDefault="000B0599" w:rsidP="000B0599">
            <w:pPr>
              <w:jc w:val="left"/>
              <w:rPr>
                <w:rFonts w:cs="Arial"/>
                <w:color w:val="000000"/>
                <w:sz w:val="24"/>
                <w:szCs w:val="24"/>
              </w:rPr>
            </w:pPr>
            <w:r w:rsidRPr="000B0599">
              <w:rPr>
                <w:rFonts w:cs="Arial"/>
                <w:color w:val="000000"/>
                <w:sz w:val="24"/>
                <w:szCs w:val="24"/>
              </w:rPr>
              <w:t>Proposed</w:t>
            </w:r>
          </w:p>
        </w:tc>
      </w:tr>
      <w:tr w:rsidR="000B0599" w:rsidRPr="000B0599" w14:paraId="1B255CFE" w14:textId="77777777" w:rsidTr="000B0599">
        <w:trPr>
          <w:trHeight w:val="396"/>
        </w:trPr>
        <w:tc>
          <w:tcPr>
            <w:tcW w:w="3260" w:type="dxa"/>
            <w:tcBorders>
              <w:top w:val="nil"/>
              <w:left w:val="nil"/>
              <w:bottom w:val="nil"/>
              <w:right w:val="nil"/>
            </w:tcBorders>
            <w:shd w:val="clear" w:color="auto" w:fill="auto"/>
            <w:noWrap/>
            <w:hideMark/>
          </w:tcPr>
          <w:p w14:paraId="6E54C8C3" w14:textId="77777777" w:rsidR="000B0599" w:rsidRPr="000B0599" w:rsidRDefault="000B0599" w:rsidP="000B0599">
            <w:pPr>
              <w:jc w:val="left"/>
              <w:rPr>
                <w:rFonts w:cs="Arial"/>
                <w:color w:val="000000"/>
                <w:sz w:val="24"/>
                <w:szCs w:val="24"/>
              </w:rPr>
            </w:pPr>
          </w:p>
        </w:tc>
        <w:tc>
          <w:tcPr>
            <w:tcW w:w="1244" w:type="dxa"/>
            <w:tcBorders>
              <w:top w:val="nil"/>
              <w:left w:val="nil"/>
              <w:bottom w:val="nil"/>
              <w:right w:val="nil"/>
            </w:tcBorders>
            <w:shd w:val="clear" w:color="auto" w:fill="auto"/>
            <w:hideMark/>
          </w:tcPr>
          <w:p w14:paraId="45A6D31B" w14:textId="3C40732F" w:rsidR="000B0599" w:rsidRPr="000B0599" w:rsidRDefault="000B0599" w:rsidP="000B0599">
            <w:pPr>
              <w:jc w:val="center"/>
              <w:rPr>
                <w:rFonts w:cs="Arial"/>
                <w:color w:val="000000"/>
                <w:sz w:val="24"/>
                <w:szCs w:val="24"/>
              </w:rPr>
            </w:pPr>
            <w:r>
              <w:rPr>
                <w:rFonts w:cs="Arial"/>
                <w:color w:val="000000"/>
                <w:sz w:val="24"/>
                <w:szCs w:val="24"/>
              </w:rPr>
              <w:t>2021/</w:t>
            </w:r>
            <w:r w:rsidRPr="000B0599">
              <w:rPr>
                <w:rFonts w:cs="Arial"/>
                <w:color w:val="000000"/>
                <w:sz w:val="24"/>
                <w:szCs w:val="24"/>
              </w:rPr>
              <w:t xml:space="preserve">22 </w:t>
            </w:r>
          </w:p>
        </w:tc>
        <w:tc>
          <w:tcPr>
            <w:tcW w:w="1244" w:type="dxa"/>
            <w:tcBorders>
              <w:top w:val="nil"/>
              <w:left w:val="nil"/>
              <w:bottom w:val="nil"/>
              <w:right w:val="nil"/>
            </w:tcBorders>
            <w:shd w:val="clear" w:color="auto" w:fill="auto"/>
            <w:hideMark/>
          </w:tcPr>
          <w:p w14:paraId="2BFD8CCD" w14:textId="3E41521F" w:rsidR="000B0599" w:rsidRPr="000B0599" w:rsidRDefault="000B0599" w:rsidP="000B0599">
            <w:pPr>
              <w:jc w:val="center"/>
              <w:rPr>
                <w:rFonts w:cs="Arial"/>
                <w:color w:val="000000"/>
                <w:sz w:val="24"/>
                <w:szCs w:val="24"/>
              </w:rPr>
            </w:pPr>
            <w:r>
              <w:rPr>
                <w:rFonts w:cs="Arial"/>
                <w:color w:val="000000"/>
                <w:sz w:val="24"/>
                <w:szCs w:val="24"/>
              </w:rPr>
              <w:t>2022/</w:t>
            </w:r>
            <w:r w:rsidRPr="000B0599">
              <w:rPr>
                <w:rFonts w:cs="Arial"/>
                <w:color w:val="000000"/>
                <w:sz w:val="24"/>
                <w:szCs w:val="24"/>
              </w:rPr>
              <w:t xml:space="preserve">23 </w:t>
            </w:r>
          </w:p>
        </w:tc>
        <w:tc>
          <w:tcPr>
            <w:tcW w:w="1244" w:type="dxa"/>
            <w:tcBorders>
              <w:top w:val="nil"/>
              <w:left w:val="nil"/>
              <w:bottom w:val="nil"/>
              <w:right w:val="nil"/>
            </w:tcBorders>
            <w:shd w:val="clear" w:color="auto" w:fill="auto"/>
            <w:hideMark/>
          </w:tcPr>
          <w:p w14:paraId="390F4DB8" w14:textId="3B14F773" w:rsidR="000B0599" w:rsidRPr="000B0599" w:rsidRDefault="000B0599" w:rsidP="000B0599">
            <w:pPr>
              <w:jc w:val="center"/>
              <w:rPr>
                <w:rFonts w:cs="Arial"/>
                <w:color w:val="000000"/>
                <w:sz w:val="24"/>
                <w:szCs w:val="24"/>
              </w:rPr>
            </w:pPr>
            <w:r>
              <w:rPr>
                <w:rFonts w:cs="Arial"/>
                <w:color w:val="000000"/>
                <w:sz w:val="24"/>
                <w:szCs w:val="24"/>
              </w:rPr>
              <w:t>2023/</w:t>
            </w:r>
            <w:r w:rsidRPr="000B0599">
              <w:rPr>
                <w:rFonts w:cs="Arial"/>
                <w:color w:val="000000"/>
                <w:sz w:val="24"/>
                <w:szCs w:val="24"/>
              </w:rPr>
              <w:t>24</w:t>
            </w:r>
          </w:p>
        </w:tc>
      </w:tr>
      <w:tr w:rsidR="000B0599" w:rsidRPr="000B0599" w14:paraId="33434ADF" w14:textId="77777777" w:rsidTr="000B0599">
        <w:trPr>
          <w:trHeight w:val="288"/>
        </w:trPr>
        <w:tc>
          <w:tcPr>
            <w:tcW w:w="3260" w:type="dxa"/>
            <w:tcBorders>
              <w:top w:val="nil"/>
              <w:left w:val="nil"/>
              <w:bottom w:val="single" w:sz="4" w:space="0" w:color="auto"/>
              <w:right w:val="nil"/>
            </w:tcBorders>
            <w:shd w:val="clear" w:color="auto" w:fill="auto"/>
            <w:noWrap/>
            <w:hideMark/>
          </w:tcPr>
          <w:p w14:paraId="036D4B40" w14:textId="77777777" w:rsidR="000B0599" w:rsidRPr="000B0599" w:rsidRDefault="000B0599" w:rsidP="000B0599">
            <w:pPr>
              <w:jc w:val="left"/>
              <w:rPr>
                <w:rFonts w:cs="Arial"/>
                <w:color w:val="000000"/>
                <w:sz w:val="24"/>
                <w:szCs w:val="24"/>
              </w:rPr>
            </w:pPr>
            <w:r w:rsidRPr="000B0599">
              <w:rPr>
                <w:rFonts w:cs="Arial"/>
                <w:color w:val="000000"/>
                <w:sz w:val="24"/>
                <w:szCs w:val="24"/>
              </w:rPr>
              <w:t> </w:t>
            </w:r>
          </w:p>
        </w:tc>
        <w:tc>
          <w:tcPr>
            <w:tcW w:w="1244" w:type="dxa"/>
            <w:tcBorders>
              <w:top w:val="nil"/>
              <w:left w:val="nil"/>
              <w:bottom w:val="single" w:sz="4" w:space="0" w:color="auto"/>
              <w:right w:val="nil"/>
            </w:tcBorders>
            <w:shd w:val="clear" w:color="auto" w:fill="auto"/>
            <w:hideMark/>
          </w:tcPr>
          <w:p w14:paraId="12EC9AF6" w14:textId="77777777" w:rsidR="000B0599" w:rsidRPr="000B0599" w:rsidRDefault="000B0599" w:rsidP="000B0599">
            <w:pPr>
              <w:jc w:val="center"/>
              <w:rPr>
                <w:rFonts w:cs="Arial"/>
                <w:color w:val="000000"/>
                <w:sz w:val="24"/>
                <w:szCs w:val="24"/>
              </w:rPr>
            </w:pPr>
            <w:r w:rsidRPr="000B0599">
              <w:rPr>
                <w:rFonts w:cs="Arial"/>
                <w:color w:val="000000"/>
                <w:sz w:val="24"/>
                <w:szCs w:val="24"/>
              </w:rPr>
              <w:t>£000</w:t>
            </w:r>
          </w:p>
        </w:tc>
        <w:tc>
          <w:tcPr>
            <w:tcW w:w="1244" w:type="dxa"/>
            <w:tcBorders>
              <w:top w:val="nil"/>
              <w:left w:val="nil"/>
              <w:bottom w:val="single" w:sz="4" w:space="0" w:color="auto"/>
              <w:right w:val="nil"/>
            </w:tcBorders>
            <w:shd w:val="clear" w:color="auto" w:fill="auto"/>
            <w:hideMark/>
          </w:tcPr>
          <w:p w14:paraId="1A019880" w14:textId="77777777" w:rsidR="000B0599" w:rsidRPr="000B0599" w:rsidRDefault="000B0599" w:rsidP="000B0599">
            <w:pPr>
              <w:jc w:val="center"/>
              <w:rPr>
                <w:rFonts w:cs="Arial"/>
                <w:color w:val="000000"/>
                <w:sz w:val="24"/>
                <w:szCs w:val="24"/>
              </w:rPr>
            </w:pPr>
            <w:r w:rsidRPr="000B0599">
              <w:rPr>
                <w:rFonts w:cs="Arial"/>
                <w:color w:val="000000"/>
                <w:sz w:val="24"/>
                <w:szCs w:val="24"/>
              </w:rPr>
              <w:t>£000</w:t>
            </w:r>
          </w:p>
        </w:tc>
        <w:tc>
          <w:tcPr>
            <w:tcW w:w="1244" w:type="dxa"/>
            <w:tcBorders>
              <w:top w:val="nil"/>
              <w:left w:val="nil"/>
              <w:bottom w:val="single" w:sz="4" w:space="0" w:color="auto"/>
              <w:right w:val="nil"/>
            </w:tcBorders>
            <w:shd w:val="clear" w:color="auto" w:fill="auto"/>
            <w:hideMark/>
          </w:tcPr>
          <w:p w14:paraId="4A4424C4" w14:textId="77777777" w:rsidR="000B0599" w:rsidRPr="000B0599" w:rsidRDefault="000B0599" w:rsidP="000B0599">
            <w:pPr>
              <w:jc w:val="center"/>
              <w:rPr>
                <w:rFonts w:cs="Arial"/>
                <w:color w:val="000000"/>
                <w:sz w:val="24"/>
                <w:szCs w:val="24"/>
              </w:rPr>
            </w:pPr>
            <w:r w:rsidRPr="000B0599">
              <w:rPr>
                <w:rFonts w:cs="Arial"/>
                <w:color w:val="000000"/>
                <w:sz w:val="24"/>
                <w:szCs w:val="24"/>
              </w:rPr>
              <w:t>£000</w:t>
            </w:r>
          </w:p>
        </w:tc>
      </w:tr>
      <w:tr w:rsidR="000B0599" w:rsidRPr="000B0599" w14:paraId="3425A7C6" w14:textId="77777777" w:rsidTr="000B0599">
        <w:trPr>
          <w:trHeight w:val="828"/>
        </w:trPr>
        <w:tc>
          <w:tcPr>
            <w:tcW w:w="3260" w:type="dxa"/>
            <w:tcBorders>
              <w:top w:val="nil"/>
              <w:left w:val="nil"/>
              <w:bottom w:val="nil"/>
              <w:right w:val="nil"/>
            </w:tcBorders>
            <w:shd w:val="clear" w:color="auto" w:fill="auto"/>
            <w:hideMark/>
          </w:tcPr>
          <w:p w14:paraId="379C146B" w14:textId="77777777" w:rsidR="000B0599" w:rsidRPr="000B0599" w:rsidRDefault="000B0599" w:rsidP="000B0599">
            <w:pPr>
              <w:jc w:val="left"/>
              <w:rPr>
                <w:rFonts w:cs="Arial"/>
                <w:color w:val="000000"/>
                <w:sz w:val="24"/>
                <w:szCs w:val="24"/>
              </w:rPr>
            </w:pPr>
            <w:r w:rsidRPr="000B0599">
              <w:rPr>
                <w:rFonts w:cs="Arial"/>
                <w:color w:val="000000"/>
                <w:sz w:val="24"/>
                <w:szCs w:val="24"/>
              </w:rPr>
              <w:t>Housing Revenue Account Capital Programme (see Appendix 2)</w:t>
            </w:r>
          </w:p>
        </w:tc>
        <w:tc>
          <w:tcPr>
            <w:tcW w:w="1244" w:type="dxa"/>
            <w:tcBorders>
              <w:top w:val="nil"/>
              <w:left w:val="nil"/>
              <w:bottom w:val="nil"/>
              <w:right w:val="nil"/>
            </w:tcBorders>
            <w:shd w:val="clear" w:color="auto" w:fill="auto"/>
            <w:noWrap/>
            <w:hideMark/>
          </w:tcPr>
          <w:p w14:paraId="79C82AAE" w14:textId="77777777" w:rsidR="000B0599" w:rsidRPr="000B0599" w:rsidRDefault="000B0599" w:rsidP="000B0599">
            <w:pPr>
              <w:jc w:val="center"/>
              <w:rPr>
                <w:rFonts w:cs="Arial"/>
                <w:color w:val="000000"/>
                <w:sz w:val="24"/>
                <w:szCs w:val="24"/>
              </w:rPr>
            </w:pPr>
            <w:r w:rsidRPr="000B0599">
              <w:rPr>
                <w:rFonts w:cs="Arial"/>
                <w:color w:val="000000"/>
                <w:sz w:val="24"/>
                <w:szCs w:val="24"/>
              </w:rPr>
              <w:t>6,617</w:t>
            </w:r>
          </w:p>
        </w:tc>
        <w:tc>
          <w:tcPr>
            <w:tcW w:w="1244" w:type="dxa"/>
            <w:tcBorders>
              <w:top w:val="nil"/>
              <w:left w:val="nil"/>
              <w:bottom w:val="nil"/>
              <w:right w:val="nil"/>
            </w:tcBorders>
            <w:shd w:val="clear" w:color="auto" w:fill="auto"/>
            <w:noWrap/>
            <w:hideMark/>
          </w:tcPr>
          <w:p w14:paraId="0F1A3EF0" w14:textId="77777777" w:rsidR="000B0599" w:rsidRPr="000B0599" w:rsidRDefault="000B0599" w:rsidP="000B0599">
            <w:pPr>
              <w:jc w:val="center"/>
              <w:rPr>
                <w:rFonts w:cs="Arial"/>
                <w:color w:val="000000"/>
                <w:sz w:val="24"/>
                <w:szCs w:val="24"/>
              </w:rPr>
            </w:pPr>
            <w:r w:rsidRPr="000B0599">
              <w:rPr>
                <w:rFonts w:cs="Arial"/>
                <w:color w:val="000000"/>
                <w:sz w:val="24"/>
                <w:szCs w:val="24"/>
              </w:rPr>
              <w:t>4,190</w:t>
            </w:r>
          </w:p>
        </w:tc>
        <w:tc>
          <w:tcPr>
            <w:tcW w:w="1244" w:type="dxa"/>
            <w:tcBorders>
              <w:top w:val="nil"/>
              <w:left w:val="nil"/>
              <w:bottom w:val="nil"/>
              <w:right w:val="nil"/>
            </w:tcBorders>
            <w:shd w:val="clear" w:color="auto" w:fill="auto"/>
            <w:noWrap/>
            <w:hideMark/>
          </w:tcPr>
          <w:p w14:paraId="7CED3C0D" w14:textId="77777777" w:rsidR="000B0599" w:rsidRPr="000B0599" w:rsidRDefault="000B0599" w:rsidP="000B0599">
            <w:pPr>
              <w:jc w:val="center"/>
              <w:rPr>
                <w:rFonts w:cs="Arial"/>
                <w:color w:val="000000"/>
                <w:sz w:val="24"/>
                <w:szCs w:val="24"/>
              </w:rPr>
            </w:pPr>
            <w:r w:rsidRPr="000B0599">
              <w:rPr>
                <w:rFonts w:cs="Arial"/>
                <w:color w:val="000000"/>
                <w:sz w:val="24"/>
                <w:szCs w:val="24"/>
              </w:rPr>
              <w:t>4,190</w:t>
            </w:r>
          </w:p>
        </w:tc>
      </w:tr>
      <w:tr w:rsidR="000B0599" w:rsidRPr="000B0599" w14:paraId="786CAF0F" w14:textId="77777777" w:rsidTr="000B0599">
        <w:trPr>
          <w:trHeight w:val="552"/>
        </w:trPr>
        <w:tc>
          <w:tcPr>
            <w:tcW w:w="3260" w:type="dxa"/>
            <w:tcBorders>
              <w:top w:val="nil"/>
              <w:left w:val="nil"/>
              <w:bottom w:val="nil"/>
              <w:right w:val="nil"/>
            </w:tcBorders>
            <w:shd w:val="clear" w:color="auto" w:fill="auto"/>
            <w:hideMark/>
          </w:tcPr>
          <w:p w14:paraId="23A223E2" w14:textId="77777777" w:rsidR="000B0599" w:rsidRPr="000B0599" w:rsidRDefault="000B0599" w:rsidP="000B0599">
            <w:pPr>
              <w:jc w:val="left"/>
              <w:rPr>
                <w:rFonts w:cs="Arial"/>
                <w:color w:val="000000"/>
                <w:sz w:val="24"/>
                <w:szCs w:val="24"/>
              </w:rPr>
            </w:pPr>
            <w:r w:rsidRPr="000B0599">
              <w:rPr>
                <w:rFonts w:cs="Arial"/>
                <w:color w:val="000000"/>
                <w:sz w:val="24"/>
                <w:szCs w:val="24"/>
              </w:rPr>
              <w:t>New Build Schemes (see Appendix 2)</w:t>
            </w:r>
          </w:p>
        </w:tc>
        <w:tc>
          <w:tcPr>
            <w:tcW w:w="1244" w:type="dxa"/>
            <w:tcBorders>
              <w:top w:val="nil"/>
              <w:left w:val="nil"/>
              <w:bottom w:val="nil"/>
              <w:right w:val="nil"/>
            </w:tcBorders>
            <w:shd w:val="clear" w:color="auto" w:fill="auto"/>
            <w:noWrap/>
            <w:hideMark/>
          </w:tcPr>
          <w:p w14:paraId="1E475D7C" w14:textId="77777777" w:rsidR="000B0599" w:rsidRPr="000B0599" w:rsidRDefault="000B0599" w:rsidP="000B0599">
            <w:pPr>
              <w:jc w:val="center"/>
              <w:rPr>
                <w:rFonts w:cs="Arial"/>
                <w:color w:val="000000"/>
                <w:sz w:val="24"/>
                <w:szCs w:val="24"/>
              </w:rPr>
            </w:pPr>
            <w:r w:rsidRPr="000B0599">
              <w:rPr>
                <w:rFonts w:cs="Arial"/>
                <w:color w:val="000000"/>
                <w:sz w:val="24"/>
                <w:szCs w:val="24"/>
              </w:rPr>
              <w:t>35,116</w:t>
            </w:r>
          </w:p>
        </w:tc>
        <w:tc>
          <w:tcPr>
            <w:tcW w:w="1244" w:type="dxa"/>
            <w:tcBorders>
              <w:top w:val="nil"/>
              <w:left w:val="nil"/>
              <w:bottom w:val="nil"/>
              <w:right w:val="nil"/>
            </w:tcBorders>
            <w:shd w:val="clear" w:color="auto" w:fill="auto"/>
            <w:noWrap/>
            <w:hideMark/>
          </w:tcPr>
          <w:p w14:paraId="32DA235B" w14:textId="77777777" w:rsidR="000B0599" w:rsidRPr="000B0599" w:rsidRDefault="000B0599" w:rsidP="000B0599">
            <w:pPr>
              <w:jc w:val="center"/>
              <w:rPr>
                <w:rFonts w:cs="Arial"/>
                <w:color w:val="000000"/>
                <w:sz w:val="24"/>
                <w:szCs w:val="24"/>
              </w:rPr>
            </w:pPr>
            <w:r w:rsidRPr="000B0599">
              <w:rPr>
                <w:rFonts w:cs="Arial"/>
                <w:color w:val="000000"/>
                <w:sz w:val="24"/>
                <w:szCs w:val="24"/>
              </w:rPr>
              <w:t>11,417</w:t>
            </w:r>
          </w:p>
        </w:tc>
        <w:tc>
          <w:tcPr>
            <w:tcW w:w="1244" w:type="dxa"/>
            <w:tcBorders>
              <w:top w:val="nil"/>
              <w:left w:val="nil"/>
              <w:bottom w:val="nil"/>
              <w:right w:val="nil"/>
            </w:tcBorders>
            <w:shd w:val="clear" w:color="auto" w:fill="auto"/>
            <w:noWrap/>
            <w:hideMark/>
          </w:tcPr>
          <w:p w14:paraId="758B3492" w14:textId="77777777" w:rsidR="000B0599" w:rsidRPr="000B0599" w:rsidRDefault="000B0599" w:rsidP="000B0599">
            <w:pPr>
              <w:jc w:val="center"/>
              <w:rPr>
                <w:rFonts w:cs="Arial"/>
                <w:color w:val="000000"/>
                <w:sz w:val="24"/>
                <w:szCs w:val="24"/>
              </w:rPr>
            </w:pPr>
            <w:r w:rsidRPr="000B0599">
              <w:rPr>
                <w:rFonts w:cs="Arial"/>
                <w:color w:val="000000"/>
                <w:sz w:val="24"/>
                <w:szCs w:val="24"/>
              </w:rPr>
              <w:t>0</w:t>
            </w:r>
          </w:p>
        </w:tc>
      </w:tr>
      <w:tr w:rsidR="000B0599" w:rsidRPr="000B0599" w14:paraId="4B024C8F" w14:textId="77777777" w:rsidTr="000B0599">
        <w:trPr>
          <w:trHeight w:val="288"/>
        </w:trPr>
        <w:tc>
          <w:tcPr>
            <w:tcW w:w="3260" w:type="dxa"/>
            <w:tcBorders>
              <w:top w:val="nil"/>
              <w:left w:val="nil"/>
              <w:bottom w:val="nil"/>
              <w:right w:val="nil"/>
            </w:tcBorders>
            <w:shd w:val="clear" w:color="auto" w:fill="auto"/>
            <w:noWrap/>
            <w:hideMark/>
          </w:tcPr>
          <w:p w14:paraId="7C84D38C" w14:textId="77777777" w:rsidR="000B0599" w:rsidRPr="000B0599" w:rsidRDefault="000B0599" w:rsidP="000B0599">
            <w:pPr>
              <w:jc w:val="left"/>
              <w:rPr>
                <w:rFonts w:cs="Arial"/>
                <w:b/>
                <w:bCs/>
                <w:color w:val="000000"/>
                <w:sz w:val="24"/>
                <w:szCs w:val="24"/>
              </w:rPr>
            </w:pPr>
            <w:r w:rsidRPr="000B0599">
              <w:rPr>
                <w:rFonts w:cs="Arial"/>
                <w:b/>
                <w:bCs/>
                <w:color w:val="000000"/>
                <w:sz w:val="24"/>
                <w:szCs w:val="24"/>
              </w:rPr>
              <w:t xml:space="preserve">Total </w:t>
            </w:r>
          </w:p>
        </w:tc>
        <w:tc>
          <w:tcPr>
            <w:tcW w:w="1244" w:type="dxa"/>
            <w:tcBorders>
              <w:top w:val="single" w:sz="4" w:space="0" w:color="auto"/>
              <w:left w:val="nil"/>
              <w:bottom w:val="nil"/>
              <w:right w:val="nil"/>
            </w:tcBorders>
            <w:shd w:val="clear" w:color="auto" w:fill="auto"/>
            <w:noWrap/>
            <w:hideMark/>
          </w:tcPr>
          <w:p w14:paraId="0EB4A0DE" w14:textId="77777777" w:rsidR="000B0599" w:rsidRPr="000B0599" w:rsidRDefault="000B0599" w:rsidP="000B0599">
            <w:pPr>
              <w:jc w:val="center"/>
              <w:rPr>
                <w:rFonts w:cs="Arial"/>
                <w:b/>
                <w:bCs/>
                <w:color w:val="000000"/>
                <w:sz w:val="24"/>
                <w:szCs w:val="24"/>
              </w:rPr>
            </w:pPr>
            <w:r w:rsidRPr="000B0599">
              <w:rPr>
                <w:rFonts w:cs="Arial"/>
                <w:b/>
                <w:bCs/>
                <w:color w:val="000000"/>
                <w:sz w:val="24"/>
                <w:szCs w:val="24"/>
              </w:rPr>
              <w:t>41,733</w:t>
            </w:r>
          </w:p>
        </w:tc>
        <w:tc>
          <w:tcPr>
            <w:tcW w:w="1244" w:type="dxa"/>
            <w:tcBorders>
              <w:top w:val="single" w:sz="4" w:space="0" w:color="auto"/>
              <w:left w:val="nil"/>
              <w:bottom w:val="nil"/>
              <w:right w:val="nil"/>
            </w:tcBorders>
            <w:shd w:val="clear" w:color="auto" w:fill="auto"/>
            <w:noWrap/>
            <w:hideMark/>
          </w:tcPr>
          <w:p w14:paraId="428C13A1" w14:textId="77777777" w:rsidR="000B0599" w:rsidRPr="000B0599" w:rsidRDefault="000B0599" w:rsidP="000B0599">
            <w:pPr>
              <w:jc w:val="center"/>
              <w:rPr>
                <w:rFonts w:cs="Arial"/>
                <w:b/>
                <w:bCs/>
                <w:color w:val="000000"/>
                <w:sz w:val="24"/>
                <w:szCs w:val="24"/>
              </w:rPr>
            </w:pPr>
            <w:r w:rsidRPr="000B0599">
              <w:rPr>
                <w:rFonts w:cs="Arial"/>
                <w:b/>
                <w:bCs/>
                <w:color w:val="000000"/>
                <w:sz w:val="24"/>
                <w:szCs w:val="24"/>
              </w:rPr>
              <w:t>15,607</w:t>
            </w:r>
          </w:p>
        </w:tc>
        <w:tc>
          <w:tcPr>
            <w:tcW w:w="1244" w:type="dxa"/>
            <w:tcBorders>
              <w:top w:val="single" w:sz="4" w:space="0" w:color="auto"/>
              <w:left w:val="nil"/>
              <w:bottom w:val="nil"/>
              <w:right w:val="nil"/>
            </w:tcBorders>
            <w:shd w:val="clear" w:color="auto" w:fill="auto"/>
            <w:noWrap/>
            <w:hideMark/>
          </w:tcPr>
          <w:p w14:paraId="12D9DD0F" w14:textId="77777777" w:rsidR="000B0599" w:rsidRPr="000B0599" w:rsidRDefault="000B0599" w:rsidP="000B0599">
            <w:pPr>
              <w:jc w:val="center"/>
              <w:rPr>
                <w:rFonts w:cs="Arial"/>
                <w:b/>
                <w:bCs/>
                <w:color w:val="000000"/>
                <w:sz w:val="24"/>
                <w:szCs w:val="24"/>
              </w:rPr>
            </w:pPr>
            <w:r w:rsidRPr="000B0599">
              <w:rPr>
                <w:rFonts w:cs="Arial"/>
                <w:b/>
                <w:bCs/>
                <w:color w:val="000000"/>
                <w:sz w:val="24"/>
                <w:szCs w:val="24"/>
              </w:rPr>
              <w:t>4,190</w:t>
            </w:r>
          </w:p>
        </w:tc>
      </w:tr>
      <w:tr w:rsidR="000B0599" w:rsidRPr="000B0599" w14:paraId="233380A6" w14:textId="77777777" w:rsidTr="000B0599">
        <w:trPr>
          <w:trHeight w:val="288"/>
        </w:trPr>
        <w:tc>
          <w:tcPr>
            <w:tcW w:w="3260" w:type="dxa"/>
            <w:tcBorders>
              <w:top w:val="nil"/>
              <w:left w:val="nil"/>
              <w:bottom w:val="nil"/>
              <w:right w:val="nil"/>
            </w:tcBorders>
            <w:shd w:val="clear" w:color="auto" w:fill="auto"/>
            <w:noWrap/>
            <w:hideMark/>
          </w:tcPr>
          <w:p w14:paraId="323FE80F" w14:textId="77777777" w:rsidR="000B0599" w:rsidRPr="000B0599" w:rsidRDefault="000B0599" w:rsidP="000B0599">
            <w:pPr>
              <w:jc w:val="center"/>
              <w:rPr>
                <w:rFonts w:cs="Arial"/>
                <w:b/>
                <w:bCs/>
                <w:color w:val="000000"/>
                <w:sz w:val="24"/>
                <w:szCs w:val="24"/>
              </w:rPr>
            </w:pPr>
          </w:p>
        </w:tc>
        <w:tc>
          <w:tcPr>
            <w:tcW w:w="1244" w:type="dxa"/>
            <w:tcBorders>
              <w:top w:val="nil"/>
              <w:left w:val="nil"/>
              <w:bottom w:val="nil"/>
              <w:right w:val="nil"/>
            </w:tcBorders>
            <w:shd w:val="clear" w:color="auto" w:fill="auto"/>
            <w:noWrap/>
            <w:hideMark/>
          </w:tcPr>
          <w:p w14:paraId="58B666AF" w14:textId="77777777" w:rsidR="000B0599" w:rsidRPr="000B0599" w:rsidRDefault="000B0599" w:rsidP="000B0599">
            <w:pPr>
              <w:jc w:val="left"/>
              <w:rPr>
                <w:rFonts w:cs="Arial"/>
                <w:sz w:val="24"/>
                <w:szCs w:val="24"/>
              </w:rPr>
            </w:pPr>
          </w:p>
        </w:tc>
        <w:tc>
          <w:tcPr>
            <w:tcW w:w="1244" w:type="dxa"/>
            <w:tcBorders>
              <w:top w:val="nil"/>
              <w:left w:val="nil"/>
              <w:bottom w:val="nil"/>
              <w:right w:val="nil"/>
            </w:tcBorders>
            <w:shd w:val="clear" w:color="auto" w:fill="auto"/>
            <w:noWrap/>
            <w:hideMark/>
          </w:tcPr>
          <w:p w14:paraId="688E1C3E" w14:textId="77777777" w:rsidR="000B0599" w:rsidRPr="000B0599" w:rsidRDefault="000B0599" w:rsidP="000B0599">
            <w:pPr>
              <w:jc w:val="center"/>
              <w:rPr>
                <w:rFonts w:cs="Arial"/>
                <w:sz w:val="24"/>
                <w:szCs w:val="24"/>
              </w:rPr>
            </w:pPr>
          </w:p>
        </w:tc>
        <w:tc>
          <w:tcPr>
            <w:tcW w:w="1244" w:type="dxa"/>
            <w:tcBorders>
              <w:top w:val="nil"/>
              <w:left w:val="nil"/>
              <w:bottom w:val="nil"/>
              <w:right w:val="nil"/>
            </w:tcBorders>
            <w:shd w:val="clear" w:color="auto" w:fill="auto"/>
            <w:noWrap/>
            <w:hideMark/>
          </w:tcPr>
          <w:p w14:paraId="2EDE5A1B" w14:textId="77777777" w:rsidR="000B0599" w:rsidRPr="000B0599" w:rsidRDefault="000B0599" w:rsidP="000B0599">
            <w:pPr>
              <w:jc w:val="center"/>
              <w:rPr>
                <w:rFonts w:cs="Arial"/>
                <w:sz w:val="24"/>
                <w:szCs w:val="24"/>
              </w:rPr>
            </w:pPr>
          </w:p>
        </w:tc>
      </w:tr>
      <w:tr w:rsidR="000B0599" w:rsidRPr="000B0599" w14:paraId="3DAF0568" w14:textId="77777777" w:rsidTr="000B0599">
        <w:trPr>
          <w:trHeight w:val="552"/>
        </w:trPr>
        <w:tc>
          <w:tcPr>
            <w:tcW w:w="3260" w:type="dxa"/>
            <w:tcBorders>
              <w:top w:val="nil"/>
              <w:left w:val="nil"/>
              <w:bottom w:val="nil"/>
              <w:right w:val="nil"/>
            </w:tcBorders>
            <w:shd w:val="clear" w:color="auto" w:fill="auto"/>
            <w:noWrap/>
            <w:hideMark/>
          </w:tcPr>
          <w:p w14:paraId="09DB14AF" w14:textId="77777777" w:rsidR="000B0599" w:rsidRPr="000B0599" w:rsidRDefault="000B0599" w:rsidP="000B0599">
            <w:pPr>
              <w:jc w:val="left"/>
              <w:rPr>
                <w:rFonts w:cs="Arial"/>
                <w:b/>
                <w:bCs/>
                <w:color w:val="000000"/>
                <w:sz w:val="24"/>
                <w:szCs w:val="24"/>
              </w:rPr>
            </w:pPr>
            <w:r w:rsidRPr="000B0599">
              <w:rPr>
                <w:rFonts w:cs="Arial"/>
                <w:b/>
                <w:bCs/>
                <w:color w:val="000000"/>
                <w:sz w:val="24"/>
                <w:szCs w:val="24"/>
              </w:rPr>
              <w:t>Funded by:</w:t>
            </w:r>
          </w:p>
        </w:tc>
        <w:tc>
          <w:tcPr>
            <w:tcW w:w="1244" w:type="dxa"/>
            <w:tcBorders>
              <w:top w:val="nil"/>
              <w:left w:val="nil"/>
              <w:bottom w:val="nil"/>
              <w:right w:val="nil"/>
            </w:tcBorders>
            <w:shd w:val="clear" w:color="auto" w:fill="auto"/>
            <w:noWrap/>
            <w:hideMark/>
          </w:tcPr>
          <w:p w14:paraId="34B52FC7" w14:textId="77777777" w:rsidR="000B0599" w:rsidRPr="000B0599" w:rsidRDefault="000B0599" w:rsidP="000B0599">
            <w:pPr>
              <w:jc w:val="left"/>
              <w:rPr>
                <w:rFonts w:cs="Arial"/>
                <w:b/>
                <w:bCs/>
                <w:color w:val="000000"/>
                <w:sz w:val="24"/>
                <w:szCs w:val="24"/>
              </w:rPr>
            </w:pPr>
          </w:p>
        </w:tc>
        <w:tc>
          <w:tcPr>
            <w:tcW w:w="1244" w:type="dxa"/>
            <w:tcBorders>
              <w:top w:val="nil"/>
              <w:left w:val="nil"/>
              <w:bottom w:val="nil"/>
              <w:right w:val="nil"/>
            </w:tcBorders>
            <w:shd w:val="clear" w:color="auto" w:fill="auto"/>
            <w:noWrap/>
            <w:hideMark/>
          </w:tcPr>
          <w:p w14:paraId="25F6B398" w14:textId="77777777" w:rsidR="000B0599" w:rsidRPr="000B0599" w:rsidRDefault="000B0599" w:rsidP="000B0599">
            <w:pPr>
              <w:jc w:val="center"/>
              <w:rPr>
                <w:rFonts w:cs="Arial"/>
                <w:sz w:val="24"/>
                <w:szCs w:val="24"/>
              </w:rPr>
            </w:pPr>
          </w:p>
        </w:tc>
        <w:tc>
          <w:tcPr>
            <w:tcW w:w="1244" w:type="dxa"/>
            <w:tcBorders>
              <w:top w:val="nil"/>
              <w:left w:val="nil"/>
              <w:bottom w:val="nil"/>
              <w:right w:val="nil"/>
            </w:tcBorders>
            <w:shd w:val="clear" w:color="auto" w:fill="auto"/>
            <w:noWrap/>
            <w:hideMark/>
          </w:tcPr>
          <w:p w14:paraId="0454A0F2" w14:textId="77777777" w:rsidR="000B0599" w:rsidRPr="000B0599" w:rsidRDefault="000B0599" w:rsidP="000B0599">
            <w:pPr>
              <w:jc w:val="center"/>
              <w:rPr>
                <w:rFonts w:cs="Arial"/>
                <w:sz w:val="24"/>
                <w:szCs w:val="24"/>
              </w:rPr>
            </w:pPr>
          </w:p>
        </w:tc>
      </w:tr>
      <w:tr w:rsidR="000B0599" w:rsidRPr="000B0599" w14:paraId="6601BCED" w14:textId="77777777" w:rsidTr="000B0599">
        <w:trPr>
          <w:trHeight w:val="288"/>
        </w:trPr>
        <w:tc>
          <w:tcPr>
            <w:tcW w:w="3260" w:type="dxa"/>
            <w:tcBorders>
              <w:top w:val="nil"/>
              <w:left w:val="nil"/>
              <w:bottom w:val="nil"/>
              <w:right w:val="nil"/>
            </w:tcBorders>
            <w:shd w:val="clear" w:color="auto" w:fill="auto"/>
            <w:hideMark/>
          </w:tcPr>
          <w:p w14:paraId="7E6F4809" w14:textId="77777777" w:rsidR="000B0599" w:rsidRPr="000B0599" w:rsidRDefault="000B0599" w:rsidP="000B0599">
            <w:pPr>
              <w:rPr>
                <w:rFonts w:cs="Arial"/>
                <w:color w:val="000000"/>
                <w:sz w:val="24"/>
                <w:szCs w:val="24"/>
              </w:rPr>
            </w:pPr>
            <w:r w:rsidRPr="000B0599">
              <w:rPr>
                <w:rFonts w:cs="Arial"/>
                <w:color w:val="000000"/>
                <w:sz w:val="24"/>
                <w:szCs w:val="24"/>
              </w:rPr>
              <w:t>Grants and contributions</w:t>
            </w:r>
          </w:p>
        </w:tc>
        <w:tc>
          <w:tcPr>
            <w:tcW w:w="1244" w:type="dxa"/>
            <w:tcBorders>
              <w:top w:val="nil"/>
              <w:left w:val="nil"/>
              <w:bottom w:val="nil"/>
              <w:right w:val="nil"/>
            </w:tcBorders>
            <w:shd w:val="clear" w:color="auto" w:fill="auto"/>
            <w:noWrap/>
            <w:hideMark/>
          </w:tcPr>
          <w:p w14:paraId="0E2B78A2" w14:textId="77777777" w:rsidR="000B0599" w:rsidRPr="000B0599" w:rsidRDefault="000B0599" w:rsidP="000B0599">
            <w:pPr>
              <w:jc w:val="center"/>
              <w:rPr>
                <w:rFonts w:cs="Arial"/>
                <w:color w:val="000000"/>
                <w:sz w:val="24"/>
                <w:szCs w:val="24"/>
              </w:rPr>
            </w:pPr>
            <w:r w:rsidRPr="000B0599">
              <w:rPr>
                <w:rFonts w:cs="Arial"/>
                <w:color w:val="000000"/>
                <w:sz w:val="24"/>
                <w:szCs w:val="24"/>
              </w:rPr>
              <w:t>286</w:t>
            </w:r>
          </w:p>
        </w:tc>
        <w:tc>
          <w:tcPr>
            <w:tcW w:w="1244" w:type="dxa"/>
            <w:tcBorders>
              <w:top w:val="nil"/>
              <w:left w:val="nil"/>
              <w:bottom w:val="nil"/>
              <w:right w:val="nil"/>
            </w:tcBorders>
            <w:shd w:val="clear" w:color="auto" w:fill="auto"/>
            <w:noWrap/>
            <w:hideMark/>
          </w:tcPr>
          <w:p w14:paraId="34BF9FF7" w14:textId="77777777" w:rsidR="000B0599" w:rsidRPr="000B0599" w:rsidRDefault="000B0599" w:rsidP="000B0599">
            <w:pPr>
              <w:jc w:val="center"/>
              <w:rPr>
                <w:rFonts w:cs="Arial"/>
                <w:color w:val="000000"/>
                <w:sz w:val="24"/>
                <w:szCs w:val="24"/>
              </w:rPr>
            </w:pPr>
            <w:r w:rsidRPr="000B0599">
              <w:rPr>
                <w:rFonts w:cs="Arial"/>
                <w:color w:val="000000"/>
                <w:sz w:val="24"/>
                <w:szCs w:val="24"/>
              </w:rPr>
              <w:t>0</w:t>
            </w:r>
          </w:p>
        </w:tc>
        <w:tc>
          <w:tcPr>
            <w:tcW w:w="1244" w:type="dxa"/>
            <w:tcBorders>
              <w:top w:val="nil"/>
              <w:left w:val="nil"/>
              <w:bottom w:val="nil"/>
              <w:right w:val="nil"/>
            </w:tcBorders>
            <w:shd w:val="clear" w:color="auto" w:fill="auto"/>
            <w:noWrap/>
            <w:hideMark/>
          </w:tcPr>
          <w:p w14:paraId="36689AA7" w14:textId="77777777" w:rsidR="000B0599" w:rsidRPr="000B0599" w:rsidRDefault="000B0599" w:rsidP="000B0599">
            <w:pPr>
              <w:jc w:val="center"/>
              <w:rPr>
                <w:rFonts w:cs="Arial"/>
                <w:color w:val="000000"/>
                <w:sz w:val="24"/>
                <w:szCs w:val="24"/>
              </w:rPr>
            </w:pPr>
            <w:r w:rsidRPr="000B0599">
              <w:rPr>
                <w:rFonts w:cs="Arial"/>
                <w:color w:val="000000"/>
                <w:sz w:val="24"/>
                <w:szCs w:val="24"/>
              </w:rPr>
              <w:t>0</w:t>
            </w:r>
          </w:p>
        </w:tc>
      </w:tr>
      <w:tr w:rsidR="000B0599" w:rsidRPr="000B0599" w14:paraId="353A7431" w14:textId="77777777" w:rsidTr="000B0599">
        <w:trPr>
          <w:trHeight w:val="288"/>
        </w:trPr>
        <w:tc>
          <w:tcPr>
            <w:tcW w:w="3260" w:type="dxa"/>
            <w:tcBorders>
              <w:top w:val="nil"/>
              <w:left w:val="nil"/>
              <w:bottom w:val="nil"/>
              <w:right w:val="nil"/>
            </w:tcBorders>
            <w:shd w:val="clear" w:color="auto" w:fill="auto"/>
            <w:hideMark/>
          </w:tcPr>
          <w:p w14:paraId="6BB9BC24" w14:textId="77777777" w:rsidR="000B0599" w:rsidRPr="000B0599" w:rsidRDefault="000B0599" w:rsidP="000B0599">
            <w:pPr>
              <w:rPr>
                <w:rFonts w:cs="Arial"/>
                <w:color w:val="000000"/>
                <w:sz w:val="24"/>
                <w:szCs w:val="24"/>
              </w:rPr>
            </w:pPr>
            <w:r w:rsidRPr="000B0599">
              <w:rPr>
                <w:rFonts w:cs="Arial"/>
                <w:color w:val="000000"/>
                <w:sz w:val="24"/>
                <w:szCs w:val="24"/>
              </w:rPr>
              <w:t>Capital Receipts</w:t>
            </w:r>
          </w:p>
        </w:tc>
        <w:tc>
          <w:tcPr>
            <w:tcW w:w="1244" w:type="dxa"/>
            <w:tcBorders>
              <w:top w:val="nil"/>
              <w:left w:val="nil"/>
              <w:bottom w:val="nil"/>
              <w:right w:val="nil"/>
            </w:tcBorders>
            <w:shd w:val="clear" w:color="auto" w:fill="auto"/>
            <w:hideMark/>
          </w:tcPr>
          <w:p w14:paraId="4F73AE6F" w14:textId="77777777" w:rsidR="000B0599" w:rsidRPr="000B0599" w:rsidRDefault="000B0599" w:rsidP="000B0599">
            <w:pPr>
              <w:jc w:val="center"/>
              <w:rPr>
                <w:rFonts w:cs="Arial"/>
                <w:color w:val="000000"/>
                <w:sz w:val="24"/>
                <w:szCs w:val="24"/>
              </w:rPr>
            </w:pPr>
            <w:r w:rsidRPr="000B0599">
              <w:rPr>
                <w:rFonts w:cs="Arial"/>
                <w:color w:val="000000"/>
                <w:sz w:val="24"/>
                <w:szCs w:val="24"/>
              </w:rPr>
              <w:t>1,296</w:t>
            </w:r>
          </w:p>
        </w:tc>
        <w:tc>
          <w:tcPr>
            <w:tcW w:w="1244" w:type="dxa"/>
            <w:tcBorders>
              <w:top w:val="nil"/>
              <w:left w:val="nil"/>
              <w:bottom w:val="nil"/>
              <w:right w:val="nil"/>
            </w:tcBorders>
            <w:shd w:val="clear" w:color="auto" w:fill="auto"/>
            <w:hideMark/>
          </w:tcPr>
          <w:p w14:paraId="23F7ADD2" w14:textId="77777777" w:rsidR="000B0599" w:rsidRPr="000B0599" w:rsidRDefault="000B0599" w:rsidP="000B0599">
            <w:pPr>
              <w:jc w:val="center"/>
              <w:rPr>
                <w:rFonts w:cs="Arial"/>
                <w:color w:val="000000"/>
                <w:sz w:val="24"/>
                <w:szCs w:val="24"/>
              </w:rPr>
            </w:pPr>
            <w:r w:rsidRPr="000B0599">
              <w:rPr>
                <w:rFonts w:cs="Arial"/>
                <w:color w:val="000000"/>
                <w:sz w:val="24"/>
                <w:szCs w:val="24"/>
              </w:rPr>
              <w:t>292</w:t>
            </w:r>
          </w:p>
        </w:tc>
        <w:tc>
          <w:tcPr>
            <w:tcW w:w="1244" w:type="dxa"/>
            <w:tcBorders>
              <w:top w:val="nil"/>
              <w:left w:val="nil"/>
              <w:bottom w:val="nil"/>
              <w:right w:val="nil"/>
            </w:tcBorders>
            <w:shd w:val="clear" w:color="auto" w:fill="auto"/>
            <w:hideMark/>
          </w:tcPr>
          <w:p w14:paraId="6FD40E6E" w14:textId="77777777" w:rsidR="000B0599" w:rsidRPr="000B0599" w:rsidRDefault="000B0599" w:rsidP="000B0599">
            <w:pPr>
              <w:jc w:val="center"/>
              <w:rPr>
                <w:rFonts w:cs="Arial"/>
                <w:color w:val="000000"/>
                <w:sz w:val="24"/>
                <w:szCs w:val="24"/>
              </w:rPr>
            </w:pPr>
            <w:r w:rsidRPr="000B0599">
              <w:rPr>
                <w:rFonts w:cs="Arial"/>
                <w:color w:val="000000"/>
                <w:sz w:val="24"/>
                <w:szCs w:val="24"/>
              </w:rPr>
              <w:t>0</w:t>
            </w:r>
          </w:p>
        </w:tc>
      </w:tr>
      <w:tr w:rsidR="000B0599" w:rsidRPr="000B0599" w14:paraId="11534A8E" w14:textId="77777777" w:rsidTr="000B0599">
        <w:trPr>
          <w:trHeight w:val="288"/>
        </w:trPr>
        <w:tc>
          <w:tcPr>
            <w:tcW w:w="3260" w:type="dxa"/>
            <w:tcBorders>
              <w:top w:val="nil"/>
              <w:left w:val="nil"/>
              <w:bottom w:val="nil"/>
              <w:right w:val="nil"/>
            </w:tcBorders>
            <w:shd w:val="clear" w:color="auto" w:fill="auto"/>
            <w:hideMark/>
          </w:tcPr>
          <w:p w14:paraId="1E885ABD" w14:textId="77777777" w:rsidR="000B0599" w:rsidRPr="000B0599" w:rsidRDefault="000B0599" w:rsidP="000B0599">
            <w:pPr>
              <w:jc w:val="left"/>
              <w:rPr>
                <w:rFonts w:cs="Arial"/>
                <w:color w:val="000000"/>
                <w:sz w:val="24"/>
                <w:szCs w:val="24"/>
              </w:rPr>
            </w:pPr>
            <w:r w:rsidRPr="000B0599">
              <w:rPr>
                <w:rFonts w:cs="Arial"/>
                <w:color w:val="000000"/>
                <w:sz w:val="24"/>
                <w:szCs w:val="24"/>
              </w:rPr>
              <w:t>Reserves</w:t>
            </w:r>
          </w:p>
        </w:tc>
        <w:tc>
          <w:tcPr>
            <w:tcW w:w="1244" w:type="dxa"/>
            <w:tcBorders>
              <w:top w:val="nil"/>
              <w:left w:val="nil"/>
              <w:bottom w:val="nil"/>
              <w:right w:val="nil"/>
            </w:tcBorders>
            <w:shd w:val="clear" w:color="auto" w:fill="auto"/>
            <w:hideMark/>
          </w:tcPr>
          <w:p w14:paraId="700DBD74" w14:textId="77777777" w:rsidR="000B0599" w:rsidRPr="000B0599" w:rsidRDefault="000B0599" w:rsidP="000B0599">
            <w:pPr>
              <w:jc w:val="center"/>
              <w:rPr>
                <w:rFonts w:cs="Arial"/>
                <w:color w:val="000000"/>
                <w:sz w:val="24"/>
                <w:szCs w:val="24"/>
              </w:rPr>
            </w:pPr>
            <w:r w:rsidRPr="000B0599">
              <w:rPr>
                <w:rFonts w:cs="Arial"/>
                <w:color w:val="000000"/>
                <w:sz w:val="24"/>
                <w:szCs w:val="24"/>
              </w:rPr>
              <w:t>10,000</w:t>
            </w:r>
          </w:p>
        </w:tc>
        <w:tc>
          <w:tcPr>
            <w:tcW w:w="1244" w:type="dxa"/>
            <w:tcBorders>
              <w:top w:val="nil"/>
              <w:left w:val="nil"/>
              <w:bottom w:val="nil"/>
              <w:right w:val="nil"/>
            </w:tcBorders>
            <w:shd w:val="clear" w:color="auto" w:fill="auto"/>
            <w:hideMark/>
          </w:tcPr>
          <w:p w14:paraId="5A29FF34" w14:textId="77777777" w:rsidR="000B0599" w:rsidRPr="000B0599" w:rsidRDefault="000B0599" w:rsidP="000B0599">
            <w:pPr>
              <w:jc w:val="center"/>
              <w:rPr>
                <w:rFonts w:cs="Arial"/>
                <w:color w:val="000000"/>
                <w:sz w:val="24"/>
                <w:szCs w:val="24"/>
              </w:rPr>
            </w:pPr>
            <w:r w:rsidRPr="000B0599">
              <w:rPr>
                <w:rFonts w:cs="Arial"/>
                <w:color w:val="000000"/>
                <w:sz w:val="24"/>
                <w:szCs w:val="24"/>
              </w:rPr>
              <w:t>2,500</w:t>
            </w:r>
          </w:p>
        </w:tc>
        <w:tc>
          <w:tcPr>
            <w:tcW w:w="1244" w:type="dxa"/>
            <w:tcBorders>
              <w:top w:val="nil"/>
              <w:left w:val="nil"/>
              <w:bottom w:val="nil"/>
              <w:right w:val="nil"/>
            </w:tcBorders>
            <w:shd w:val="clear" w:color="auto" w:fill="auto"/>
            <w:hideMark/>
          </w:tcPr>
          <w:p w14:paraId="183055AB" w14:textId="77777777" w:rsidR="000B0599" w:rsidRPr="000B0599" w:rsidRDefault="000B0599" w:rsidP="000B0599">
            <w:pPr>
              <w:jc w:val="center"/>
              <w:rPr>
                <w:rFonts w:cs="Arial"/>
                <w:color w:val="000000"/>
                <w:sz w:val="24"/>
                <w:szCs w:val="24"/>
              </w:rPr>
            </w:pPr>
            <w:r w:rsidRPr="000B0599">
              <w:rPr>
                <w:rFonts w:cs="Arial"/>
                <w:color w:val="000000"/>
                <w:sz w:val="24"/>
                <w:szCs w:val="24"/>
              </w:rPr>
              <w:t>0</w:t>
            </w:r>
          </w:p>
        </w:tc>
      </w:tr>
      <w:tr w:rsidR="000B0599" w:rsidRPr="000B0599" w14:paraId="780C963C" w14:textId="77777777" w:rsidTr="000B0599">
        <w:trPr>
          <w:trHeight w:val="288"/>
        </w:trPr>
        <w:tc>
          <w:tcPr>
            <w:tcW w:w="3260" w:type="dxa"/>
            <w:tcBorders>
              <w:top w:val="nil"/>
              <w:left w:val="nil"/>
              <w:bottom w:val="nil"/>
              <w:right w:val="nil"/>
            </w:tcBorders>
            <w:shd w:val="clear" w:color="auto" w:fill="auto"/>
            <w:hideMark/>
          </w:tcPr>
          <w:p w14:paraId="435FDD5D" w14:textId="77777777" w:rsidR="000B0599" w:rsidRPr="000B0599" w:rsidRDefault="000B0599" w:rsidP="000B0599">
            <w:pPr>
              <w:rPr>
                <w:rFonts w:cs="Arial"/>
                <w:color w:val="000000"/>
                <w:sz w:val="24"/>
                <w:szCs w:val="24"/>
              </w:rPr>
            </w:pPr>
            <w:r w:rsidRPr="000B0599">
              <w:rPr>
                <w:rFonts w:cs="Arial"/>
                <w:color w:val="000000"/>
                <w:sz w:val="24"/>
                <w:szCs w:val="24"/>
              </w:rPr>
              <w:t>Major Repairs Reserve</w:t>
            </w:r>
          </w:p>
        </w:tc>
        <w:tc>
          <w:tcPr>
            <w:tcW w:w="1244" w:type="dxa"/>
            <w:tcBorders>
              <w:top w:val="nil"/>
              <w:left w:val="nil"/>
              <w:bottom w:val="nil"/>
              <w:right w:val="nil"/>
            </w:tcBorders>
            <w:shd w:val="clear" w:color="auto" w:fill="auto"/>
            <w:hideMark/>
          </w:tcPr>
          <w:p w14:paraId="4FBBFFF7" w14:textId="77777777" w:rsidR="000B0599" w:rsidRPr="000B0599" w:rsidRDefault="000B0599" w:rsidP="000B0599">
            <w:pPr>
              <w:jc w:val="center"/>
              <w:rPr>
                <w:rFonts w:cs="Arial"/>
                <w:color w:val="000000"/>
                <w:sz w:val="24"/>
                <w:szCs w:val="24"/>
              </w:rPr>
            </w:pPr>
            <w:r w:rsidRPr="000B0599">
              <w:rPr>
                <w:rFonts w:cs="Arial"/>
                <w:color w:val="000000"/>
                <w:sz w:val="24"/>
                <w:szCs w:val="24"/>
              </w:rPr>
              <w:t>12,309</w:t>
            </w:r>
          </w:p>
        </w:tc>
        <w:tc>
          <w:tcPr>
            <w:tcW w:w="1244" w:type="dxa"/>
            <w:tcBorders>
              <w:top w:val="nil"/>
              <w:left w:val="nil"/>
              <w:bottom w:val="nil"/>
              <w:right w:val="nil"/>
            </w:tcBorders>
            <w:shd w:val="clear" w:color="auto" w:fill="auto"/>
            <w:hideMark/>
          </w:tcPr>
          <w:p w14:paraId="7A5795FF" w14:textId="77777777" w:rsidR="000B0599" w:rsidRPr="000B0599" w:rsidRDefault="000B0599" w:rsidP="000B0599">
            <w:pPr>
              <w:jc w:val="center"/>
              <w:rPr>
                <w:rFonts w:cs="Arial"/>
                <w:color w:val="000000"/>
                <w:sz w:val="24"/>
                <w:szCs w:val="24"/>
              </w:rPr>
            </w:pPr>
            <w:r w:rsidRPr="000B0599">
              <w:rPr>
                <w:rFonts w:cs="Arial"/>
                <w:color w:val="000000"/>
                <w:sz w:val="24"/>
                <w:szCs w:val="24"/>
              </w:rPr>
              <w:t>4,220</w:t>
            </w:r>
          </w:p>
        </w:tc>
        <w:tc>
          <w:tcPr>
            <w:tcW w:w="1244" w:type="dxa"/>
            <w:tcBorders>
              <w:top w:val="nil"/>
              <w:left w:val="nil"/>
              <w:bottom w:val="nil"/>
              <w:right w:val="nil"/>
            </w:tcBorders>
            <w:shd w:val="clear" w:color="auto" w:fill="auto"/>
            <w:hideMark/>
          </w:tcPr>
          <w:p w14:paraId="0D224DBA" w14:textId="77777777" w:rsidR="000B0599" w:rsidRPr="000B0599" w:rsidRDefault="000B0599" w:rsidP="000B0599">
            <w:pPr>
              <w:jc w:val="center"/>
              <w:rPr>
                <w:rFonts w:cs="Arial"/>
                <w:color w:val="000000"/>
                <w:sz w:val="24"/>
                <w:szCs w:val="24"/>
              </w:rPr>
            </w:pPr>
            <w:r w:rsidRPr="000B0599">
              <w:rPr>
                <w:rFonts w:cs="Arial"/>
                <w:color w:val="000000"/>
                <w:sz w:val="24"/>
                <w:szCs w:val="24"/>
              </w:rPr>
              <w:t>4,190</w:t>
            </w:r>
          </w:p>
        </w:tc>
      </w:tr>
      <w:tr w:rsidR="000B0599" w:rsidRPr="000B0599" w14:paraId="70E697CB" w14:textId="77777777" w:rsidTr="000B0599">
        <w:trPr>
          <w:trHeight w:val="300"/>
        </w:trPr>
        <w:tc>
          <w:tcPr>
            <w:tcW w:w="3260" w:type="dxa"/>
            <w:tcBorders>
              <w:top w:val="nil"/>
              <w:left w:val="nil"/>
              <w:bottom w:val="nil"/>
              <w:right w:val="nil"/>
            </w:tcBorders>
            <w:shd w:val="clear" w:color="auto" w:fill="auto"/>
            <w:hideMark/>
          </w:tcPr>
          <w:p w14:paraId="15EC6872" w14:textId="77777777" w:rsidR="000B0599" w:rsidRPr="000B0599" w:rsidRDefault="000B0599" w:rsidP="000B0599">
            <w:pPr>
              <w:jc w:val="left"/>
              <w:rPr>
                <w:rFonts w:cs="Arial"/>
                <w:color w:val="000000"/>
                <w:sz w:val="24"/>
                <w:szCs w:val="24"/>
              </w:rPr>
            </w:pPr>
            <w:r w:rsidRPr="000B0599">
              <w:rPr>
                <w:rFonts w:cs="Arial"/>
                <w:color w:val="000000"/>
                <w:sz w:val="24"/>
                <w:szCs w:val="24"/>
              </w:rPr>
              <w:t>Prudential Borrowing</w:t>
            </w:r>
          </w:p>
        </w:tc>
        <w:tc>
          <w:tcPr>
            <w:tcW w:w="1244" w:type="dxa"/>
            <w:tcBorders>
              <w:top w:val="nil"/>
              <w:left w:val="nil"/>
              <w:bottom w:val="nil"/>
              <w:right w:val="nil"/>
            </w:tcBorders>
            <w:shd w:val="clear" w:color="auto" w:fill="auto"/>
            <w:hideMark/>
          </w:tcPr>
          <w:p w14:paraId="296F9F94" w14:textId="77777777" w:rsidR="000B0599" w:rsidRPr="000B0599" w:rsidRDefault="000B0599" w:rsidP="000B0599">
            <w:pPr>
              <w:jc w:val="center"/>
              <w:rPr>
                <w:rFonts w:cs="Arial"/>
                <w:color w:val="000000"/>
                <w:sz w:val="24"/>
                <w:szCs w:val="24"/>
              </w:rPr>
            </w:pPr>
            <w:r w:rsidRPr="000B0599">
              <w:rPr>
                <w:rFonts w:cs="Arial"/>
                <w:color w:val="000000"/>
                <w:sz w:val="24"/>
                <w:szCs w:val="24"/>
              </w:rPr>
              <w:t>17,842</w:t>
            </w:r>
          </w:p>
        </w:tc>
        <w:tc>
          <w:tcPr>
            <w:tcW w:w="1244" w:type="dxa"/>
            <w:tcBorders>
              <w:top w:val="nil"/>
              <w:left w:val="nil"/>
              <w:bottom w:val="nil"/>
              <w:right w:val="nil"/>
            </w:tcBorders>
            <w:shd w:val="clear" w:color="auto" w:fill="auto"/>
            <w:hideMark/>
          </w:tcPr>
          <w:p w14:paraId="3A49B327" w14:textId="77777777" w:rsidR="000B0599" w:rsidRPr="000B0599" w:rsidRDefault="000B0599" w:rsidP="000B0599">
            <w:pPr>
              <w:jc w:val="center"/>
              <w:rPr>
                <w:rFonts w:cs="Arial"/>
                <w:color w:val="000000"/>
                <w:sz w:val="24"/>
                <w:szCs w:val="24"/>
              </w:rPr>
            </w:pPr>
            <w:r w:rsidRPr="000B0599">
              <w:rPr>
                <w:rFonts w:cs="Arial"/>
                <w:color w:val="000000"/>
                <w:sz w:val="24"/>
                <w:szCs w:val="24"/>
              </w:rPr>
              <w:t>8,595</w:t>
            </w:r>
          </w:p>
        </w:tc>
        <w:tc>
          <w:tcPr>
            <w:tcW w:w="1244" w:type="dxa"/>
            <w:tcBorders>
              <w:top w:val="nil"/>
              <w:left w:val="nil"/>
              <w:bottom w:val="nil"/>
              <w:right w:val="nil"/>
            </w:tcBorders>
            <w:shd w:val="clear" w:color="auto" w:fill="auto"/>
            <w:hideMark/>
          </w:tcPr>
          <w:p w14:paraId="386AB676" w14:textId="77777777" w:rsidR="000B0599" w:rsidRPr="000B0599" w:rsidRDefault="000B0599" w:rsidP="000B0599">
            <w:pPr>
              <w:jc w:val="center"/>
              <w:rPr>
                <w:rFonts w:cs="Arial"/>
                <w:color w:val="000000"/>
                <w:sz w:val="24"/>
                <w:szCs w:val="24"/>
              </w:rPr>
            </w:pPr>
            <w:r w:rsidRPr="000B0599">
              <w:rPr>
                <w:rFonts w:cs="Arial"/>
                <w:color w:val="000000"/>
                <w:sz w:val="24"/>
                <w:szCs w:val="24"/>
              </w:rPr>
              <w:t>0</w:t>
            </w:r>
          </w:p>
        </w:tc>
      </w:tr>
      <w:tr w:rsidR="000B0599" w:rsidRPr="000B0599" w14:paraId="452B4422" w14:textId="77777777" w:rsidTr="000B0599">
        <w:trPr>
          <w:trHeight w:val="630"/>
        </w:trPr>
        <w:tc>
          <w:tcPr>
            <w:tcW w:w="3260" w:type="dxa"/>
            <w:tcBorders>
              <w:top w:val="nil"/>
              <w:left w:val="nil"/>
              <w:bottom w:val="nil"/>
              <w:right w:val="nil"/>
            </w:tcBorders>
            <w:shd w:val="clear" w:color="auto" w:fill="auto"/>
            <w:hideMark/>
          </w:tcPr>
          <w:p w14:paraId="595A3929" w14:textId="77777777" w:rsidR="000B0599" w:rsidRPr="000B0599" w:rsidRDefault="000B0599" w:rsidP="000B0599">
            <w:pPr>
              <w:jc w:val="left"/>
              <w:rPr>
                <w:rFonts w:cs="Arial"/>
                <w:b/>
                <w:bCs/>
                <w:color w:val="000000"/>
                <w:sz w:val="24"/>
                <w:szCs w:val="24"/>
              </w:rPr>
            </w:pPr>
            <w:r w:rsidRPr="000B0599">
              <w:rPr>
                <w:rFonts w:cs="Arial"/>
                <w:b/>
                <w:bCs/>
                <w:color w:val="000000"/>
                <w:sz w:val="24"/>
                <w:szCs w:val="24"/>
              </w:rPr>
              <w:t>Housing Revenue Account Funding</w:t>
            </w:r>
          </w:p>
        </w:tc>
        <w:tc>
          <w:tcPr>
            <w:tcW w:w="1244" w:type="dxa"/>
            <w:tcBorders>
              <w:top w:val="single" w:sz="4" w:space="0" w:color="auto"/>
              <w:left w:val="nil"/>
              <w:bottom w:val="nil"/>
              <w:right w:val="nil"/>
            </w:tcBorders>
            <w:shd w:val="clear" w:color="auto" w:fill="auto"/>
            <w:hideMark/>
          </w:tcPr>
          <w:p w14:paraId="754FC1D1" w14:textId="77777777" w:rsidR="000B0599" w:rsidRPr="000B0599" w:rsidRDefault="000B0599" w:rsidP="000B0599">
            <w:pPr>
              <w:jc w:val="center"/>
              <w:rPr>
                <w:rFonts w:cs="Arial"/>
                <w:b/>
                <w:bCs/>
                <w:color w:val="000000"/>
                <w:sz w:val="24"/>
                <w:szCs w:val="24"/>
              </w:rPr>
            </w:pPr>
            <w:r w:rsidRPr="000B0599">
              <w:rPr>
                <w:rFonts w:cs="Arial"/>
                <w:b/>
                <w:bCs/>
                <w:color w:val="000000"/>
                <w:sz w:val="24"/>
                <w:szCs w:val="24"/>
              </w:rPr>
              <w:t>41,733</w:t>
            </w:r>
          </w:p>
        </w:tc>
        <w:tc>
          <w:tcPr>
            <w:tcW w:w="1244" w:type="dxa"/>
            <w:tcBorders>
              <w:top w:val="single" w:sz="4" w:space="0" w:color="auto"/>
              <w:left w:val="nil"/>
              <w:bottom w:val="nil"/>
              <w:right w:val="nil"/>
            </w:tcBorders>
            <w:shd w:val="clear" w:color="auto" w:fill="auto"/>
            <w:hideMark/>
          </w:tcPr>
          <w:p w14:paraId="0FCB6CA9" w14:textId="77777777" w:rsidR="000B0599" w:rsidRPr="000B0599" w:rsidRDefault="000B0599" w:rsidP="000B0599">
            <w:pPr>
              <w:jc w:val="center"/>
              <w:rPr>
                <w:rFonts w:cs="Arial"/>
                <w:b/>
                <w:bCs/>
                <w:color w:val="000000"/>
                <w:sz w:val="24"/>
                <w:szCs w:val="24"/>
              </w:rPr>
            </w:pPr>
            <w:r w:rsidRPr="000B0599">
              <w:rPr>
                <w:rFonts w:cs="Arial"/>
                <w:b/>
                <w:bCs/>
                <w:color w:val="000000"/>
                <w:sz w:val="24"/>
                <w:szCs w:val="24"/>
              </w:rPr>
              <w:t>15,607</w:t>
            </w:r>
          </w:p>
        </w:tc>
        <w:tc>
          <w:tcPr>
            <w:tcW w:w="1244" w:type="dxa"/>
            <w:tcBorders>
              <w:top w:val="single" w:sz="4" w:space="0" w:color="auto"/>
              <w:left w:val="nil"/>
              <w:bottom w:val="nil"/>
              <w:right w:val="nil"/>
            </w:tcBorders>
            <w:shd w:val="clear" w:color="auto" w:fill="auto"/>
            <w:hideMark/>
          </w:tcPr>
          <w:p w14:paraId="0A143B15" w14:textId="77777777" w:rsidR="000B0599" w:rsidRPr="000B0599" w:rsidRDefault="000B0599" w:rsidP="000B0599">
            <w:pPr>
              <w:jc w:val="center"/>
              <w:rPr>
                <w:rFonts w:cs="Arial"/>
                <w:b/>
                <w:bCs/>
                <w:color w:val="000000"/>
                <w:sz w:val="24"/>
                <w:szCs w:val="24"/>
              </w:rPr>
            </w:pPr>
            <w:r w:rsidRPr="000B0599">
              <w:rPr>
                <w:rFonts w:cs="Arial"/>
                <w:b/>
                <w:bCs/>
                <w:color w:val="000000"/>
                <w:sz w:val="24"/>
                <w:szCs w:val="24"/>
              </w:rPr>
              <w:t>4,190</w:t>
            </w:r>
          </w:p>
        </w:tc>
      </w:tr>
    </w:tbl>
    <w:p w14:paraId="794DF382" w14:textId="3E83B923" w:rsidR="000B0599" w:rsidRDefault="000B0599" w:rsidP="006647A6">
      <w:pPr>
        <w:jc w:val="left"/>
        <w:rPr>
          <w:rFonts w:cs="Arial"/>
          <w:sz w:val="24"/>
          <w:szCs w:val="24"/>
        </w:rPr>
      </w:pPr>
    </w:p>
    <w:p w14:paraId="5E6257BE" w14:textId="4F444B06" w:rsidR="000B0599" w:rsidRPr="002F0DAE" w:rsidRDefault="000B0599" w:rsidP="006647A6">
      <w:pPr>
        <w:jc w:val="left"/>
        <w:rPr>
          <w:rFonts w:cs="Arial"/>
          <w:sz w:val="24"/>
          <w:szCs w:val="24"/>
        </w:rPr>
      </w:pPr>
    </w:p>
    <w:p w14:paraId="55098777" w14:textId="24DF3F50" w:rsidR="00C76296" w:rsidRDefault="00BC160C" w:rsidP="00BB22BA">
      <w:pPr>
        <w:ind w:left="851" w:hanging="851"/>
        <w:jc w:val="left"/>
        <w:rPr>
          <w:rFonts w:cs="Arial"/>
          <w:sz w:val="24"/>
          <w:szCs w:val="24"/>
        </w:rPr>
      </w:pPr>
      <w:r>
        <w:rPr>
          <w:sz w:val="24"/>
          <w:szCs w:val="24"/>
        </w:rPr>
        <w:t>3.</w:t>
      </w:r>
      <w:r w:rsidR="0017654C">
        <w:rPr>
          <w:sz w:val="24"/>
          <w:szCs w:val="24"/>
        </w:rPr>
        <w:t>6</w:t>
      </w:r>
      <w:r>
        <w:rPr>
          <w:sz w:val="24"/>
          <w:szCs w:val="24"/>
        </w:rPr>
        <w:t>.3.3</w:t>
      </w:r>
      <w:r>
        <w:rPr>
          <w:sz w:val="24"/>
          <w:szCs w:val="24"/>
        </w:rPr>
        <w:tab/>
      </w:r>
      <w:r w:rsidRPr="009762E4">
        <w:rPr>
          <w:sz w:val="24"/>
          <w:szCs w:val="24"/>
        </w:rPr>
        <w:t xml:space="preserve">A breakdown of the </w:t>
      </w:r>
      <w:r w:rsidRPr="00E33107">
        <w:rPr>
          <w:sz w:val="24"/>
          <w:szCs w:val="24"/>
        </w:rPr>
        <w:t xml:space="preserve">individual capital schemes is provided in </w:t>
      </w:r>
      <w:r w:rsidR="002E36DD" w:rsidRPr="00E33107">
        <w:rPr>
          <w:sz w:val="24"/>
          <w:szCs w:val="24"/>
        </w:rPr>
        <w:t>A</w:t>
      </w:r>
      <w:r w:rsidRPr="00E33107">
        <w:rPr>
          <w:sz w:val="24"/>
          <w:szCs w:val="24"/>
        </w:rPr>
        <w:t xml:space="preserve">ppendix </w:t>
      </w:r>
      <w:r w:rsidR="00755F99">
        <w:rPr>
          <w:sz w:val="24"/>
          <w:szCs w:val="24"/>
        </w:rPr>
        <w:t>5</w:t>
      </w:r>
      <w:r w:rsidRPr="00E33107">
        <w:rPr>
          <w:sz w:val="24"/>
          <w:szCs w:val="24"/>
        </w:rPr>
        <w:t xml:space="preserve"> of this report.</w:t>
      </w:r>
    </w:p>
    <w:p w14:paraId="644D24FA" w14:textId="77777777" w:rsidR="00BB22BA" w:rsidRDefault="00BB22BA" w:rsidP="00BB22BA">
      <w:pPr>
        <w:ind w:left="851" w:hanging="851"/>
        <w:jc w:val="left"/>
        <w:rPr>
          <w:rFonts w:cs="Arial"/>
          <w:sz w:val="24"/>
          <w:szCs w:val="24"/>
        </w:rPr>
      </w:pPr>
    </w:p>
    <w:p w14:paraId="659E8001" w14:textId="77777777" w:rsidR="00BC160C" w:rsidRPr="00656AD3" w:rsidRDefault="00BC160C" w:rsidP="00BC160C">
      <w:pPr>
        <w:ind w:left="851" w:hanging="851"/>
        <w:jc w:val="left"/>
        <w:rPr>
          <w:sz w:val="24"/>
          <w:szCs w:val="24"/>
        </w:rPr>
      </w:pPr>
    </w:p>
    <w:p w14:paraId="0CA1A3F2" w14:textId="4C7EED69" w:rsidR="0023747F" w:rsidRPr="00656AD3" w:rsidRDefault="003D546F" w:rsidP="0073669D">
      <w:pPr>
        <w:ind w:left="851" w:hanging="851"/>
        <w:jc w:val="left"/>
        <w:outlineLvl w:val="0"/>
        <w:rPr>
          <w:b/>
          <w:sz w:val="24"/>
          <w:szCs w:val="24"/>
        </w:rPr>
      </w:pPr>
      <w:r w:rsidRPr="00656AD3">
        <w:rPr>
          <w:b/>
          <w:sz w:val="24"/>
          <w:szCs w:val="24"/>
        </w:rPr>
        <w:t>3.</w:t>
      </w:r>
      <w:r w:rsidR="0017654C">
        <w:rPr>
          <w:b/>
          <w:sz w:val="24"/>
          <w:szCs w:val="24"/>
        </w:rPr>
        <w:t>7</w:t>
      </w:r>
      <w:r w:rsidRPr="00656AD3">
        <w:rPr>
          <w:b/>
          <w:sz w:val="24"/>
          <w:szCs w:val="24"/>
        </w:rPr>
        <w:tab/>
      </w:r>
      <w:r w:rsidR="0023747F" w:rsidRPr="00656AD3">
        <w:rPr>
          <w:b/>
          <w:sz w:val="24"/>
          <w:szCs w:val="24"/>
        </w:rPr>
        <w:t>Consultation</w:t>
      </w:r>
    </w:p>
    <w:p w14:paraId="301B3EE0" w14:textId="77777777" w:rsidR="00FB33F3" w:rsidRPr="00656AD3" w:rsidRDefault="00FB33F3" w:rsidP="0073669D">
      <w:pPr>
        <w:ind w:left="851" w:hanging="851"/>
        <w:jc w:val="left"/>
        <w:rPr>
          <w:sz w:val="24"/>
          <w:szCs w:val="24"/>
        </w:rPr>
      </w:pPr>
    </w:p>
    <w:p w14:paraId="3079AD2A" w14:textId="5D04A69F" w:rsidR="00E432FA" w:rsidRDefault="00AE466C" w:rsidP="0073669D">
      <w:pPr>
        <w:ind w:left="851" w:hanging="851"/>
        <w:jc w:val="left"/>
        <w:rPr>
          <w:sz w:val="24"/>
          <w:szCs w:val="24"/>
        </w:rPr>
      </w:pPr>
      <w:r w:rsidRPr="00656AD3">
        <w:rPr>
          <w:sz w:val="24"/>
          <w:szCs w:val="24"/>
        </w:rPr>
        <w:t>3.</w:t>
      </w:r>
      <w:r w:rsidR="0017654C">
        <w:rPr>
          <w:sz w:val="24"/>
          <w:szCs w:val="24"/>
        </w:rPr>
        <w:t>7</w:t>
      </w:r>
      <w:r w:rsidRPr="00656AD3">
        <w:rPr>
          <w:sz w:val="24"/>
          <w:szCs w:val="24"/>
        </w:rPr>
        <w:t>.1</w:t>
      </w:r>
      <w:r w:rsidRPr="00656AD3">
        <w:rPr>
          <w:sz w:val="24"/>
          <w:szCs w:val="24"/>
        </w:rPr>
        <w:tab/>
      </w:r>
      <w:r w:rsidR="00E432FA" w:rsidRPr="00656AD3">
        <w:rPr>
          <w:sz w:val="24"/>
          <w:szCs w:val="24"/>
        </w:rPr>
        <w:t xml:space="preserve">The budgets </w:t>
      </w:r>
      <w:r w:rsidR="00E432FA">
        <w:rPr>
          <w:sz w:val="24"/>
          <w:szCs w:val="24"/>
        </w:rPr>
        <w:t>contained within this budget report have been</w:t>
      </w:r>
      <w:r w:rsidR="00E432FA" w:rsidRPr="00656AD3">
        <w:rPr>
          <w:sz w:val="24"/>
          <w:szCs w:val="24"/>
        </w:rPr>
        <w:t xml:space="preserve"> subject to consultation with Overview and Scrutiny Committee (Corporate).  Further information supporting the budgets</w:t>
      </w:r>
      <w:r w:rsidR="00E432FA">
        <w:rPr>
          <w:sz w:val="24"/>
          <w:szCs w:val="24"/>
        </w:rPr>
        <w:t xml:space="preserve"> was </w:t>
      </w:r>
      <w:r w:rsidR="00E432FA" w:rsidRPr="00656AD3">
        <w:rPr>
          <w:sz w:val="24"/>
          <w:szCs w:val="24"/>
        </w:rPr>
        <w:t>made available to Overview and Scrutiny Committee (Corporate) to support them in their role.</w:t>
      </w:r>
      <w:r w:rsidR="00E432FA">
        <w:rPr>
          <w:sz w:val="24"/>
          <w:szCs w:val="24"/>
        </w:rPr>
        <w:t xml:space="preserve">  A copy of their feedback report, which was presented to Cabinet on 14 December 2020, can be found at </w:t>
      </w:r>
      <w:r w:rsidR="00612FAB">
        <w:rPr>
          <w:sz w:val="24"/>
          <w:szCs w:val="24"/>
        </w:rPr>
        <w:t>Appendix 7</w:t>
      </w:r>
      <w:r w:rsidR="00E432FA" w:rsidRPr="00165D76">
        <w:rPr>
          <w:sz w:val="24"/>
          <w:szCs w:val="24"/>
        </w:rPr>
        <w:t xml:space="preserve">, along with Cabinet’s response which was presented to Overview and Scrutiny Committee (Corporate) on 5 January 2021, which can be found at </w:t>
      </w:r>
      <w:r w:rsidR="00612FAB">
        <w:rPr>
          <w:sz w:val="24"/>
          <w:szCs w:val="24"/>
        </w:rPr>
        <w:t>Appendix 8</w:t>
      </w:r>
      <w:r w:rsidR="00E432FA" w:rsidRPr="00165D76">
        <w:rPr>
          <w:sz w:val="24"/>
          <w:szCs w:val="24"/>
        </w:rPr>
        <w:t>.</w:t>
      </w:r>
    </w:p>
    <w:p w14:paraId="66E87F84" w14:textId="40075358" w:rsidR="00AE466C" w:rsidRPr="00656AD3" w:rsidRDefault="00AE466C" w:rsidP="00E432FA">
      <w:pPr>
        <w:jc w:val="left"/>
        <w:rPr>
          <w:sz w:val="24"/>
          <w:szCs w:val="24"/>
        </w:rPr>
      </w:pPr>
    </w:p>
    <w:p w14:paraId="0070E278" w14:textId="01AE8F8E" w:rsidR="00AE466C" w:rsidRPr="00656AD3" w:rsidRDefault="00AE466C" w:rsidP="0073669D">
      <w:pPr>
        <w:ind w:left="851" w:hanging="851"/>
        <w:jc w:val="left"/>
        <w:rPr>
          <w:sz w:val="24"/>
          <w:szCs w:val="24"/>
        </w:rPr>
      </w:pPr>
      <w:r w:rsidRPr="00656AD3">
        <w:rPr>
          <w:sz w:val="24"/>
          <w:szCs w:val="24"/>
        </w:rPr>
        <w:t>3.</w:t>
      </w:r>
      <w:r w:rsidR="0017654C">
        <w:rPr>
          <w:sz w:val="24"/>
          <w:szCs w:val="24"/>
        </w:rPr>
        <w:t>7</w:t>
      </w:r>
      <w:r w:rsidRPr="00656AD3">
        <w:rPr>
          <w:sz w:val="24"/>
          <w:szCs w:val="24"/>
        </w:rPr>
        <w:t>.</w:t>
      </w:r>
      <w:r w:rsidR="00E432FA">
        <w:rPr>
          <w:sz w:val="24"/>
          <w:szCs w:val="24"/>
        </w:rPr>
        <w:t>2</w:t>
      </w:r>
      <w:r w:rsidRPr="00656AD3">
        <w:rPr>
          <w:sz w:val="24"/>
          <w:szCs w:val="24"/>
        </w:rPr>
        <w:tab/>
        <w:t>Consultation on specific proposals will take place with the public and other relevant stakeholders</w:t>
      </w:r>
      <w:r w:rsidR="00A43150" w:rsidRPr="00656AD3">
        <w:rPr>
          <w:sz w:val="24"/>
          <w:szCs w:val="24"/>
        </w:rPr>
        <w:t>, including the Unions</w:t>
      </w:r>
      <w:r w:rsidR="00D436C8">
        <w:rPr>
          <w:sz w:val="24"/>
          <w:szCs w:val="24"/>
        </w:rPr>
        <w:t>,</w:t>
      </w:r>
      <w:r w:rsidR="00A43150" w:rsidRPr="00656AD3">
        <w:rPr>
          <w:sz w:val="24"/>
          <w:szCs w:val="24"/>
        </w:rPr>
        <w:t xml:space="preserve"> where proposed savings affect staffing and working practices</w:t>
      </w:r>
      <w:r w:rsidRPr="00656AD3">
        <w:rPr>
          <w:sz w:val="24"/>
          <w:szCs w:val="24"/>
        </w:rPr>
        <w:t>.</w:t>
      </w:r>
    </w:p>
    <w:p w14:paraId="05ACBE35" w14:textId="77777777" w:rsidR="008C6DB1" w:rsidRPr="00656AD3" w:rsidRDefault="008C6DB1" w:rsidP="0073669D">
      <w:pPr>
        <w:ind w:left="851" w:hanging="851"/>
        <w:jc w:val="left"/>
        <w:rPr>
          <w:sz w:val="24"/>
          <w:szCs w:val="24"/>
        </w:rPr>
      </w:pPr>
    </w:p>
    <w:p w14:paraId="4F09BBF7" w14:textId="14A4232A" w:rsidR="00AE466C" w:rsidRPr="00656AD3" w:rsidRDefault="00AE466C" w:rsidP="0073669D">
      <w:pPr>
        <w:ind w:left="851" w:hanging="851"/>
        <w:jc w:val="left"/>
        <w:rPr>
          <w:sz w:val="24"/>
          <w:szCs w:val="24"/>
        </w:rPr>
      </w:pPr>
      <w:r w:rsidRPr="00656AD3">
        <w:rPr>
          <w:sz w:val="24"/>
          <w:szCs w:val="24"/>
        </w:rPr>
        <w:t>3.</w:t>
      </w:r>
      <w:r w:rsidR="0017654C">
        <w:rPr>
          <w:sz w:val="24"/>
          <w:szCs w:val="24"/>
        </w:rPr>
        <w:t>7</w:t>
      </w:r>
      <w:r w:rsidRPr="00656AD3">
        <w:rPr>
          <w:sz w:val="24"/>
          <w:szCs w:val="24"/>
        </w:rPr>
        <w:t>.</w:t>
      </w:r>
      <w:r w:rsidR="00E432FA">
        <w:rPr>
          <w:sz w:val="24"/>
          <w:szCs w:val="24"/>
        </w:rPr>
        <w:t>3</w:t>
      </w:r>
      <w:r w:rsidRPr="00656AD3">
        <w:rPr>
          <w:sz w:val="24"/>
          <w:szCs w:val="24"/>
        </w:rPr>
        <w:tab/>
        <w:t>Where necessary, Equality Impact Assessments will be undertaken on individual budget proposals and the impact on the budget overall, together with actions to mitigate any inequalities identified as a result of these assessments.</w:t>
      </w:r>
    </w:p>
    <w:p w14:paraId="437CC75B" w14:textId="77777777" w:rsidR="00AE466C" w:rsidRPr="00656AD3" w:rsidRDefault="00AE466C" w:rsidP="0073669D">
      <w:pPr>
        <w:ind w:left="851" w:hanging="851"/>
        <w:jc w:val="left"/>
        <w:rPr>
          <w:b/>
          <w:sz w:val="24"/>
          <w:szCs w:val="24"/>
        </w:rPr>
      </w:pPr>
    </w:p>
    <w:p w14:paraId="1040A81E" w14:textId="047E5993" w:rsidR="007F1CE5" w:rsidRDefault="007F1CE5" w:rsidP="0073669D">
      <w:pPr>
        <w:ind w:left="851" w:hanging="851"/>
        <w:jc w:val="left"/>
        <w:rPr>
          <w:b/>
          <w:sz w:val="24"/>
          <w:szCs w:val="24"/>
        </w:rPr>
      </w:pPr>
    </w:p>
    <w:p w14:paraId="7E3F150B" w14:textId="77777777" w:rsidR="00253C67" w:rsidRPr="00656AD3" w:rsidRDefault="00253C67" w:rsidP="0073669D">
      <w:pPr>
        <w:ind w:left="851" w:hanging="851"/>
        <w:jc w:val="left"/>
        <w:rPr>
          <w:b/>
          <w:sz w:val="24"/>
          <w:szCs w:val="24"/>
        </w:rPr>
      </w:pPr>
    </w:p>
    <w:p w14:paraId="79C5B572" w14:textId="787B21BB" w:rsidR="0023747F" w:rsidRPr="00656AD3" w:rsidRDefault="00495589" w:rsidP="0073669D">
      <w:pPr>
        <w:ind w:left="851" w:hanging="851"/>
        <w:jc w:val="left"/>
        <w:outlineLvl w:val="0"/>
        <w:rPr>
          <w:b/>
          <w:sz w:val="24"/>
          <w:szCs w:val="24"/>
        </w:rPr>
      </w:pPr>
      <w:r w:rsidRPr="00656AD3">
        <w:rPr>
          <w:b/>
          <w:sz w:val="24"/>
          <w:szCs w:val="24"/>
        </w:rPr>
        <w:t>3.</w:t>
      </w:r>
      <w:r w:rsidR="0017654C">
        <w:rPr>
          <w:b/>
          <w:sz w:val="24"/>
          <w:szCs w:val="24"/>
        </w:rPr>
        <w:t>8</w:t>
      </w:r>
      <w:r w:rsidR="0023747F" w:rsidRPr="00656AD3">
        <w:rPr>
          <w:b/>
          <w:sz w:val="24"/>
          <w:szCs w:val="24"/>
        </w:rPr>
        <w:tab/>
        <w:t>Next Steps</w:t>
      </w:r>
    </w:p>
    <w:p w14:paraId="30CEC070" w14:textId="77777777" w:rsidR="00AE466C" w:rsidRPr="00656AD3" w:rsidRDefault="00AE466C" w:rsidP="0073669D">
      <w:pPr>
        <w:ind w:left="851" w:hanging="851"/>
        <w:jc w:val="left"/>
        <w:outlineLvl w:val="0"/>
        <w:rPr>
          <w:b/>
          <w:sz w:val="24"/>
          <w:szCs w:val="24"/>
        </w:rPr>
      </w:pPr>
    </w:p>
    <w:p w14:paraId="06B9636E" w14:textId="77777777" w:rsidR="00AE466C" w:rsidRPr="00656AD3" w:rsidRDefault="00AE466C" w:rsidP="00990FB6">
      <w:pPr>
        <w:ind w:left="851" w:hanging="131"/>
        <w:jc w:val="left"/>
        <w:rPr>
          <w:sz w:val="24"/>
          <w:szCs w:val="24"/>
        </w:rPr>
      </w:pPr>
      <w:r w:rsidRPr="00656AD3">
        <w:rPr>
          <w:sz w:val="24"/>
          <w:szCs w:val="24"/>
        </w:rPr>
        <w:t>Timetable for reports:</w:t>
      </w:r>
    </w:p>
    <w:p w14:paraId="1128252B" w14:textId="77777777" w:rsidR="00AE466C" w:rsidRPr="00656AD3" w:rsidRDefault="00AE466C" w:rsidP="0073669D">
      <w:pPr>
        <w:ind w:left="851" w:hanging="851"/>
        <w:jc w:val="left"/>
        <w:rPr>
          <w:sz w:val="24"/>
          <w:szCs w:val="24"/>
        </w:rPr>
      </w:pPr>
    </w:p>
    <w:p w14:paraId="1F21127A" w14:textId="77777777" w:rsidR="003D2C58" w:rsidRPr="003D2C58" w:rsidRDefault="003D2C58" w:rsidP="003D2C58">
      <w:pPr>
        <w:pStyle w:val="ListParagraph"/>
        <w:numPr>
          <w:ilvl w:val="0"/>
          <w:numId w:val="52"/>
        </w:numPr>
        <w:rPr>
          <w:rFonts w:ascii="Arial" w:eastAsia="Times New Roman" w:hAnsi="Arial"/>
          <w:sz w:val="24"/>
          <w:szCs w:val="24"/>
          <w:lang w:eastAsia="en-GB"/>
        </w:rPr>
      </w:pPr>
      <w:r w:rsidRPr="003D2C58">
        <w:rPr>
          <w:rFonts w:ascii="Arial" w:hAnsi="Arial"/>
          <w:sz w:val="24"/>
          <w:szCs w:val="24"/>
        </w:rPr>
        <w:t>Cabinet 18th January – Portfolio Holder to present budget</w:t>
      </w:r>
    </w:p>
    <w:p w14:paraId="199CE339" w14:textId="5EC391E2" w:rsidR="003D2C58" w:rsidRPr="003D2C58" w:rsidRDefault="003D2C58" w:rsidP="003D2C58">
      <w:pPr>
        <w:pStyle w:val="ListParagraph"/>
        <w:numPr>
          <w:ilvl w:val="0"/>
          <w:numId w:val="52"/>
        </w:numPr>
        <w:rPr>
          <w:rFonts w:ascii="Arial" w:eastAsia="Times New Roman" w:hAnsi="Arial"/>
          <w:sz w:val="24"/>
          <w:szCs w:val="24"/>
          <w:lang w:eastAsia="en-GB"/>
        </w:rPr>
      </w:pPr>
      <w:r w:rsidRPr="003D2C58">
        <w:rPr>
          <w:rFonts w:ascii="Arial" w:hAnsi="Arial"/>
          <w:sz w:val="24"/>
          <w:szCs w:val="24"/>
        </w:rPr>
        <w:t>Council 27th January – Council to approve budget</w:t>
      </w:r>
    </w:p>
    <w:p w14:paraId="0FC07714" w14:textId="45B87BC1" w:rsidR="003D2C58" w:rsidRPr="003D2C58" w:rsidRDefault="003D2C58" w:rsidP="003D2C58">
      <w:pPr>
        <w:pStyle w:val="ListParagraph"/>
        <w:numPr>
          <w:ilvl w:val="0"/>
          <w:numId w:val="52"/>
        </w:numPr>
        <w:rPr>
          <w:rFonts w:ascii="Arial" w:eastAsia="Times New Roman" w:hAnsi="Arial"/>
          <w:sz w:val="24"/>
          <w:szCs w:val="24"/>
          <w:lang w:eastAsia="en-GB"/>
        </w:rPr>
      </w:pPr>
      <w:r>
        <w:rPr>
          <w:rFonts w:ascii="Arial" w:hAnsi="Arial"/>
          <w:sz w:val="24"/>
          <w:szCs w:val="24"/>
        </w:rPr>
        <w:t xml:space="preserve">Council </w:t>
      </w:r>
      <w:r w:rsidR="0043095B">
        <w:rPr>
          <w:rFonts w:ascii="Arial" w:hAnsi="Arial"/>
          <w:sz w:val="24"/>
          <w:szCs w:val="24"/>
        </w:rPr>
        <w:t>9</w:t>
      </w:r>
      <w:r w:rsidRPr="003D2C58">
        <w:rPr>
          <w:rFonts w:ascii="Arial" w:hAnsi="Arial"/>
          <w:sz w:val="24"/>
          <w:szCs w:val="24"/>
          <w:vertAlign w:val="superscript"/>
        </w:rPr>
        <w:t>th</w:t>
      </w:r>
      <w:r>
        <w:rPr>
          <w:rFonts w:ascii="Arial" w:hAnsi="Arial"/>
          <w:sz w:val="24"/>
          <w:szCs w:val="24"/>
        </w:rPr>
        <w:t xml:space="preserve"> March - </w:t>
      </w:r>
      <w:r w:rsidRPr="003D2C58">
        <w:rPr>
          <w:rFonts w:ascii="Arial" w:hAnsi="Arial"/>
          <w:sz w:val="24"/>
          <w:szCs w:val="24"/>
        </w:rPr>
        <w:t>Council Tax resolution made by Council including precepts from other authorities</w:t>
      </w:r>
    </w:p>
    <w:p w14:paraId="5559B92D" w14:textId="31039A38" w:rsidR="0044370E" w:rsidRPr="00656AD3" w:rsidRDefault="0044370E" w:rsidP="0025396B">
      <w:pPr>
        <w:jc w:val="left"/>
        <w:rPr>
          <w:sz w:val="24"/>
          <w:szCs w:val="24"/>
        </w:rPr>
      </w:pPr>
    </w:p>
    <w:p w14:paraId="6E21E59C" w14:textId="77777777" w:rsidR="0089260C" w:rsidRPr="00656AD3" w:rsidRDefault="00BE210E" w:rsidP="0073669D">
      <w:pPr>
        <w:ind w:left="851" w:hanging="851"/>
        <w:jc w:val="left"/>
        <w:outlineLvl w:val="0"/>
        <w:rPr>
          <w:b/>
          <w:sz w:val="24"/>
          <w:szCs w:val="24"/>
        </w:rPr>
      </w:pPr>
      <w:r w:rsidRPr="00656AD3">
        <w:rPr>
          <w:b/>
          <w:sz w:val="24"/>
          <w:szCs w:val="24"/>
        </w:rPr>
        <w:t>4.</w:t>
      </w:r>
      <w:r w:rsidRPr="00656AD3">
        <w:rPr>
          <w:b/>
          <w:sz w:val="24"/>
          <w:szCs w:val="24"/>
        </w:rPr>
        <w:tab/>
      </w:r>
      <w:r w:rsidR="0089260C" w:rsidRPr="00656AD3">
        <w:rPr>
          <w:b/>
          <w:sz w:val="24"/>
          <w:szCs w:val="24"/>
        </w:rPr>
        <w:t>OPTIONS AVAILABLE</w:t>
      </w:r>
    </w:p>
    <w:p w14:paraId="257291F3" w14:textId="77777777" w:rsidR="0089260C" w:rsidRPr="00656AD3" w:rsidRDefault="0089260C" w:rsidP="0073669D">
      <w:pPr>
        <w:ind w:left="851" w:hanging="851"/>
        <w:jc w:val="left"/>
        <w:rPr>
          <w:sz w:val="24"/>
          <w:szCs w:val="24"/>
        </w:rPr>
      </w:pPr>
    </w:p>
    <w:p w14:paraId="3755EFEB" w14:textId="04C32FD3" w:rsidR="00AE466C" w:rsidRPr="00656AD3" w:rsidRDefault="00AE466C" w:rsidP="0073669D">
      <w:pPr>
        <w:ind w:left="851" w:hanging="851"/>
        <w:jc w:val="left"/>
        <w:rPr>
          <w:sz w:val="24"/>
          <w:szCs w:val="24"/>
        </w:rPr>
      </w:pPr>
      <w:r w:rsidRPr="00656AD3">
        <w:rPr>
          <w:sz w:val="24"/>
          <w:szCs w:val="24"/>
        </w:rPr>
        <w:t>4.1</w:t>
      </w:r>
      <w:r w:rsidRPr="00656AD3">
        <w:rPr>
          <w:sz w:val="24"/>
          <w:szCs w:val="24"/>
        </w:rPr>
        <w:tab/>
      </w:r>
      <w:r w:rsidR="00917801">
        <w:rPr>
          <w:sz w:val="24"/>
          <w:szCs w:val="24"/>
        </w:rPr>
        <w:t>A</w:t>
      </w:r>
      <w:r w:rsidR="00917801" w:rsidRPr="00656AD3">
        <w:rPr>
          <w:sz w:val="24"/>
          <w:szCs w:val="24"/>
        </w:rPr>
        <w:t xml:space="preserve">ny amendments </w:t>
      </w:r>
      <w:r w:rsidR="00917801">
        <w:rPr>
          <w:sz w:val="24"/>
          <w:szCs w:val="24"/>
        </w:rPr>
        <w:t xml:space="preserve">proposed </w:t>
      </w:r>
      <w:r w:rsidR="00917801" w:rsidRPr="00656AD3">
        <w:rPr>
          <w:sz w:val="24"/>
          <w:szCs w:val="24"/>
        </w:rPr>
        <w:t>could only be implemented if the overall General Fund and Housing Revenue Accounts provide a balanced budget.</w:t>
      </w:r>
    </w:p>
    <w:p w14:paraId="76E1DFA3" w14:textId="77777777" w:rsidR="00295776" w:rsidRPr="00656AD3" w:rsidRDefault="00295776" w:rsidP="0073669D">
      <w:pPr>
        <w:ind w:left="851" w:hanging="851"/>
        <w:jc w:val="left"/>
        <w:rPr>
          <w:b/>
          <w:sz w:val="24"/>
          <w:szCs w:val="24"/>
        </w:rPr>
      </w:pPr>
    </w:p>
    <w:p w14:paraId="524D652D" w14:textId="77777777" w:rsidR="00BC30A5" w:rsidRPr="00656AD3" w:rsidRDefault="00BC30A5" w:rsidP="0073669D">
      <w:pPr>
        <w:ind w:left="851" w:hanging="851"/>
        <w:jc w:val="left"/>
        <w:rPr>
          <w:b/>
          <w:sz w:val="24"/>
          <w:szCs w:val="24"/>
        </w:rPr>
      </w:pPr>
    </w:p>
    <w:p w14:paraId="7A36A427" w14:textId="1AE6CEB8" w:rsidR="006F7ABC" w:rsidRPr="00656AD3" w:rsidRDefault="007B16CE" w:rsidP="003B0BE7">
      <w:pPr>
        <w:jc w:val="left"/>
        <w:rPr>
          <w:b/>
          <w:sz w:val="24"/>
          <w:szCs w:val="24"/>
        </w:rPr>
      </w:pPr>
      <w:r w:rsidRPr="00656AD3">
        <w:rPr>
          <w:b/>
          <w:sz w:val="24"/>
          <w:szCs w:val="24"/>
        </w:rPr>
        <w:t>5</w:t>
      </w:r>
      <w:r w:rsidR="006F7ABC" w:rsidRPr="00656AD3">
        <w:rPr>
          <w:b/>
          <w:sz w:val="24"/>
          <w:szCs w:val="24"/>
        </w:rPr>
        <w:t>.</w:t>
      </w:r>
      <w:r w:rsidR="006F7ABC" w:rsidRPr="00656AD3">
        <w:rPr>
          <w:b/>
          <w:sz w:val="24"/>
          <w:szCs w:val="24"/>
        </w:rPr>
        <w:tab/>
        <w:t>RISK ASSESSMENT</w:t>
      </w:r>
      <w:r w:rsidR="00B76F23" w:rsidRPr="00656AD3">
        <w:rPr>
          <w:b/>
          <w:sz w:val="24"/>
          <w:szCs w:val="24"/>
        </w:rPr>
        <w:t xml:space="preserve"> OF RECOMMENDATIONS AND OPTIONS</w:t>
      </w:r>
    </w:p>
    <w:p w14:paraId="1D44712B" w14:textId="77777777" w:rsidR="006F7ABC" w:rsidRPr="00656AD3" w:rsidRDefault="006F7ABC" w:rsidP="0025396B">
      <w:pPr>
        <w:jc w:val="left"/>
        <w:rPr>
          <w:sz w:val="24"/>
          <w:szCs w:val="24"/>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2760"/>
        <w:gridCol w:w="1200"/>
        <w:gridCol w:w="3480"/>
      </w:tblGrid>
      <w:tr w:rsidR="007C72A1" w:rsidRPr="00656AD3" w14:paraId="1D0D9E56" w14:textId="77777777" w:rsidTr="00916E63">
        <w:tc>
          <w:tcPr>
            <w:tcW w:w="1680" w:type="dxa"/>
            <w:shd w:val="clear" w:color="auto" w:fill="auto"/>
          </w:tcPr>
          <w:p w14:paraId="65B641FB" w14:textId="77777777" w:rsidR="007C72A1" w:rsidRPr="00656AD3" w:rsidRDefault="007C72A1" w:rsidP="00916E63">
            <w:pPr>
              <w:jc w:val="left"/>
              <w:rPr>
                <w:b/>
                <w:bCs/>
                <w:sz w:val="24"/>
                <w:szCs w:val="24"/>
              </w:rPr>
            </w:pPr>
            <w:r w:rsidRPr="00656AD3">
              <w:rPr>
                <w:b/>
                <w:bCs/>
                <w:sz w:val="24"/>
                <w:szCs w:val="24"/>
              </w:rPr>
              <w:t xml:space="preserve">Risk </w:t>
            </w:r>
          </w:p>
        </w:tc>
        <w:tc>
          <w:tcPr>
            <w:tcW w:w="2760" w:type="dxa"/>
            <w:shd w:val="clear" w:color="auto" w:fill="auto"/>
          </w:tcPr>
          <w:p w14:paraId="1C0E1F57" w14:textId="77777777" w:rsidR="007C72A1" w:rsidRPr="00656AD3" w:rsidRDefault="007C72A1" w:rsidP="00916E63">
            <w:pPr>
              <w:jc w:val="left"/>
              <w:rPr>
                <w:b/>
                <w:bCs/>
                <w:sz w:val="24"/>
                <w:szCs w:val="24"/>
              </w:rPr>
            </w:pPr>
            <w:r w:rsidRPr="00656AD3">
              <w:rPr>
                <w:b/>
                <w:bCs/>
                <w:sz w:val="24"/>
                <w:szCs w:val="24"/>
              </w:rPr>
              <w:t xml:space="preserve">Risk Assessment </w:t>
            </w:r>
          </w:p>
        </w:tc>
        <w:tc>
          <w:tcPr>
            <w:tcW w:w="1200" w:type="dxa"/>
            <w:shd w:val="clear" w:color="auto" w:fill="auto"/>
          </w:tcPr>
          <w:p w14:paraId="64D50852" w14:textId="77777777" w:rsidR="007C72A1" w:rsidRPr="00656AD3" w:rsidRDefault="007C72A1" w:rsidP="00916E63">
            <w:pPr>
              <w:jc w:val="left"/>
              <w:rPr>
                <w:b/>
                <w:bCs/>
                <w:sz w:val="24"/>
                <w:szCs w:val="24"/>
              </w:rPr>
            </w:pPr>
            <w:r w:rsidRPr="00656AD3">
              <w:rPr>
                <w:b/>
                <w:bCs/>
                <w:sz w:val="24"/>
                <w:szCs w:val="24"/>
              </w:rPr>
              <w:t xml:space="preserve">Risk Level </w:t>
            </w:r>
          </w:p>
        </w:tc>
        <w:tc>
          <w:tcPr>
            <w:tcW w:w="3480" w:type="dxa"/>
            <w:shd w:val="clear" w:color="auto" w:fill="auto"/>
          </w:tcPr>
          <w:p w14:paraId="5BAD2913" w14:textId="77777777" w:rsidR="007C72A1" w:rsidRPr="00656AD3" w:rsidRDefault="007C72A1" w:rsidP="00916E63">
            <w:pPr>
              <w:jc w:val="left"/>
              <w:rPr>
                <w:b/>
                <w:bCs/>
                <w:sz w:val="24"/>
                <w:szCs w:val="24"/>
              </w:rPr>
            </w:pPr>
            <w:r w:rsidRPr="00656AD3">
              <w:rPr>
                <w:b/>
                <w:bCs/>
                <w:sz w:val="24"/>
                <w:szCs w:val="24"/>
              </w:rPr>
              <w:t xml:space="preserve">Risk Management </w:t>
            </w:r>
          </w:p>
        </w:tc>
      </w:tr>
      <w:tr w:rsidR="007C72A1" w:rsidRPr="00656AD3" w14:paraId="30CEF0A6" w14:textId="77777777" w:rsidTr="00916E63">
        <w:tc>
          <w:tcPr>
            <w:tcW w:w="1680" w:type="dxa"/>
            <w:shd w:val="clear" w:color="auto" w:fill="auto"/>
          </w:tcPr>
          <w:p w14:paraId="2E801A51" w14:textId="77777777" w:rsidR="007C72A1" w:rsidRPr="00656AD3" w:rsidRDefault="0044370E" w:rsidP="00916E63">
            <w:pPr>
              <w:jc w:val="left"/>
              <w:rPr>
                <w:b/>
                <w:bCs/>
                <w:sz w:val="24"/>
                <w:szCs w:val="24"/>
              </w:rPr>
            </w:pPr>
            <w:r w:rsidRPr="00656AD3">
              <w:rPr>
                <w:b/>
                <w:bCs/>
                <w:sz w:val="24"/>
                <w:szCs w:val="24"/>
              </w:rPr>
              <w:t>Financial</w:t>
            </w:r>
          </w:p>
          <w:p w14:paraId="037E5D70" w14:textId="77777777" w:rsidR="003F162E" w:rsidRPr="00656AD3" w:rsidRDefault="003F162E" w:rsidP="00916E63">
            <w:pPr>
              <w:jc w:val="left"/>
              <w:rPr>
                <w:bCs/>
                <w:sz w:val="24"/>
                <w:szCs w:val="24"/>
              </w:rPr>
            </w:pPr>
            <w:r w:rsidRPr="00656AD3">
              <w:rPr>
                <w:bCs/>
                <w:sz w:val="24"/>
                <w:szCs w:val="24"/>
              </w:rPr>
              <w:t>That the figures contained within the proposed budgets for income and expenditure are inaccurate</w:t>
            </w:r>
          </w:p>
        </w:tc>
        <w:tc>
          <w:tcPr>
            <w:tcW w:w="2760" w:type="dxa"/>
            <w:shd w:val="clear" w:color="auto" w:fill="auto"/>
          </w:tcPr>
          <w:p w14:paraId="21D33428" w14:textId="77777777" w:rsidR="007C72A1" w:rsidRPr="00656AD3" w:rsidRDefault="003F162E" w:rsidP="00916E63">
            <w:pPr>
              <w:jc w:val="left"/>
              <w:rPr>
                <w:bCs/>
                <w:sz w:val="24"/>
                <w:szCs w:val="24"/>
              </w:rPr>
            </w:pPr>
            <w:r w:rsidRPr="00656AD3">
              <w:rPr>
                <w:bCs/>
                <w:sz w:val="24"/>
                <w:szCs w:val="24"/>
              </w:rPr>
              <w:t>That the calculations have been made incorrectly</w:t>
            </w:r>
            <w:r w:rsidR="00291014" w:rsidRPr="00656AD3">
              <w:rPr>
                <w:bCs/>
                <w:sz w:val="24"/>
                <w:szCs w:val="24"/>
              </w:rPr>
              <w:t>. There is a great deal of work involved in bringing the information together and errors may occur</w:t>
            </w:r>
          </w:p>
          <w:p w14:paraId="3E84AB49" w14:textId="77777777" w:rsidR="00291014" w:rsidRPr="00656AD3" w:rsidRDefault="00291014" w:rsidP="00916E63">
            <w:pPr>
              <w:jc w:val="left"/>
              <w:rPr>
                <w:bCs/>
                <w:sz w:val="24"/>
                <w:szCs w:val="24"/>
              </w:rPr>
            </w:pPr>
          </w:p>
          <w:p w14:paraId="02ABF7AD" w14:textId="77777777" w:rsidR="00291014" w:rsidRPr="00656AD3" w:rsidRDefault="00291014" w:rsidP="00916E63">
            <w:pPr>
              <w:jc w:val="left"/>
              <w:rPr>
                <w:bCs/>
                <w:sz w:val="24"/>
                <w:szCs w:val="24"/>
              </w:rPr>
            </w:pPr>
            <w:r w:rsidRPr="00656AD3">
              <w:rPr>
                <w:bCs/>
                <w:sz w:val="24"/>
                <w:szCs w:val="24"/>
              </w:rPr>
              <w:t>That the assumption on which the budgets are based are incorrect</w:t>
            </w:r>
          </w:p>
        </w:tc>
        <w:tc>
          <w:tcPr>
            <w:tcW w:w="1200" w:type="dxa"/>
            <w:shd w:val="clear" w:color="auto" w:fill="auto"/>
          </w:tcPr>
          <w:p w14:paraId="1A494765" w14:textId="77777777" w:rsidR="007C72A1" w:rsidRPr="00656AD3" w:rsidRDefault="00291014" w:rsidP="00916E63">
            <w:pPr>
              <w:jc w:val="left"/>
              <w:rPr>
                <w:rFonts w:cs="Arial"/>
                <w:bCs/>
                <w:color w:val="000000"/>
                <w:sz w:val="24"/>
                <w:szCs w:val="24"/>
              </w:rPr>
            </w:pPr>
            <w:r w:rsidRPr="00656AD3">
              <w:rPr>
                <w:rFonts w:cs="Arial"/>
                <w:bCs/>
                <w:color w:val="000000"/>
                <w:sz w:val="24"/>
                <w:szCs w:val="24"/>
              </w:rPr>
              <w:t>M</w:t>
            </w:r>
            <w:r w:rsidR="003F162E" w:rsidRPr="00656AD3">
              <w:rPr>
                <w:rFonts w:cs="Arial"/>
                <w:bCs/>
                <w:color w:val="000000"/>
                <w:sz w:val="24"/>
                <w:szCs w:val="24"/>
              </w:rPr>
              <w:t>edium</w:t>
            </w:r>
          </w:p>
          <w:p w14:paraId="0844B33B" w14:textId="77777777" w:rsidR="00291014" w:rsidRPr="00656AD3" w:rsidRDefault="00291014" w:rsidP="00916E63">
            <w:pPr>
              <w:jc w:val="left"/>
              <w:rPr>
                <w:rFonts w:cs="Arial"/>
                <w:bCs/>
                <w:color w:val="000000"/>
                <w:sz w:val="24"/>
                <w:szCs w:val="24"/>
              </w:rPr>
            </w:pPr>
          </w:p>
          <w:p w14:paraId="4E9C9821" w14:textId="77777777" w:rsidR="00291014" w:rsidRPr="00656AD3" w:rsidRDefault="00291014" w:rsidP="00916E63">
            <w:pPr>
              <w:jc w:val="left"/>
              <w:rPr>
                <w:rFonts w:cs="Arial"/>
                <w:bCs/>
                <w:color w:val="000000"/>
                <w:sz w:val="24"/>
                <w:szCs w:val="24"/>
              </w:rPr>
            </w:pPr>
          </w:p>
          <w:p w14:paraId="6884FE95" w14:textId="77777777" w:rsidR="00291014" w:rsidRPr="00656AD3" w:rsidRDefault="00291014" w:rsidP="00916E63">
            <w:pPr>
              <w:jc w:val="left"/>
              <w:rPr>
                <w:rFonts w:cs="Arial"/>
                <w:bCs/>
                <w:color w:val="000000"/>
                <w:sz w:val="24"/>
                <w:szCs w:val="24"/>
              </w:rPr>
            </w:pPr>
          </w:p>
          <w:p w14:paraId="512776BD" w14:textId="77777777" w:rsidR="00291014" w:rsidRPr="00656AD3" w:rsidRDefault="00291014" w:rsidP="00916E63">
            <w:pPr>
              <w:jc w:val="left"/>
              <w:rPr>
                <w:rFonts w:cs="Arial"/>
                <w:bCs/>
                <w:color w:val="000000"/>
                <w:sz w:val="24"/>
                <w:szCs w:val="24"/>
              </w:rPr>
            </w:pPr>
          </w:p>
          <w:p w14:paraId="72031DFA" w14:textId="77777777" w:rsidR="00291014" w:rsidRPr="00656AD3" w:rsidRDefault="00291014" w:rsidP="00916E63">
            <w:pPr>
              <w:jc w:val="left"/>
              <w:rPr>
                <w:rFonts w:cs="Arial"/>
                <w:bCs/>
                <w:color w:val="000000"/>
                <w:sz w:val="24"/>
                <w:szCs w:val="24"/>
              </w:rPr>
            </w:pPr>
          </w:p>
          <w:p w14:paraId="7CA2008B" w14:textId="77777777" w:rsidR="00291014" w:rsidRPr="00656AD3" w:rsidRDefault="00291014" w:rsidP="00916E63">
            <w:pPr>
              <w:jc w:val="left"/>
              <w:rPr>
                <w:rFonts w:cs="Arial"/>
                <w:bCs/>
                <w:color w:val="000000"/>
                <w:sz w:val="24"/>
                <w:szCs w:val="24"/>
              </w:rPr>
            </w:pPr>
          </w:p>
          <w:p w14:paraId="6DFBD718" w14:textId="77777777" w:rsidR="00291014" w:rsidRPr="00656AD3" w:rsidRDefault="00291014" w:rsidP="00916E63">
            <w:pPr>
              <w:jc w:val="left"/>
              <w:rPr>
                <w:rFonts w:cs="Arial"/>
                <w:bCs/>
                <w:color w:val="000000"/>
                <w:sz w:val="24"/>
                <w:szCs w:val="24"/>
              </w:rPr>
            </w:pPr>
          </w:p>
          <w:p w14:paraId="7177A4A2" w14:textId="77777777" w:rsidR="00291014" w:rsidRPr="00656AD3" w:rsidRDefault="00291014" w:rsidP="00916E63">
            <w:pPr>
              <w:jc w:val="left"/>
              <w:rPr>
                <w:rFonts w:cs="Arial"/>
                <w:bCs/>
                <w:color w:val="000000"/>
                <w:sz w:val="24"/>
                <w:szCs w:val="24"/>
              </w:rPr>
            </w:pPr>
            <w:r w:rsidRPr="00656AD3">
              <w:rPr>
                <w:rFonts w:cs="Arial"/>
                <w:bCs/>
                <w:color w:val="000000"/>
                <w:sz w:val="24"/>
                <w:szCs w:val="24"/>
              </w:rPr>
              <w:t>Medium</w:t>
            </w:r>
          </w:p>
        </w:tc>
        <w:tc>
          <w:tcPr>
            <w:tcW w:w="3480" w:type="dxa"/>
            <w:shd w:val="clear" w:color="auto" w:fill="auto"/>
          </w:tcPr>
          <w:p w14:paraId="15F3D0DE" w14:textId="77777777" w:rsidR="007C72A1" w:rsidRPr="00656AD3" w:rsidRDefault="003F162E" w:rsidP="00916E63">
            <w:pPr>
              <w:jc w:val="left"/>
              <w:rPr>
                <w:bCs/>
                <w:sz w:val="24"/>
                <w:szCs w:val="24"/>
              </w:rPr>
            </w:pPr>
            <w:r w:rsidRPr="00656AD3">
              <w:rPr>
                <w:bCs/>
                <w:sz w:val="24"/>
                <w:szCs w:val="24"/>
              </w:rPr>
              <w:t>A quality check is undertaken throughout the process</w:t>
            </w:r>
            <w:r w:rsidR="00291014" w:rsidRPr="00656AD3">
              <w:rPr>
                <w:bCs/>
                <w:sz w:val="24"/>
                <w:szCs w:val="24"/>
              </w:rPr>
              <w:t xml:space="preserve"> and errors identified</w:t>
            </w:r>
          </w:p>
          <w:p w14:paraId="45A08B6C" w14:textId="77777777" w:rsidR="00291014" w:rsidRPr="00656AD3" w:rsidRDefault="00291014" w:rsidP="00916E63">
            <w:pPr>
              <w:jc w:val="left"/>
              <w:rPr>
                <w:bCs/>
                <w:sz w:val="24"/>
                <w:szCs w:val="24"/>
              </w:rPr>
            </w:pPr>
          </w:p>
          <w:p w14:paraId="3B117F9B" w14:textId="77777777" w:rsidR="00291014" w:rsidRPr="00656AD3" w:rsidRDefault="00291014" w:rsidP="00916E63">
            <w:pPr>
              <w:jc w:val="left"/>
              <w:rPr>
                <w:bCs/>
                <w:sz w:val="24"/>
                <w:szCs w:val="24"/>
              </w:rPr>
            </w:pPr>
          </w:p>
          <w:p w14:paraId="29594131" w14:textId="77777777" w:rsidR="00291014" w:rsidRPr="00656AD3" w:rsidRDefault="00291014" w:rsidP="00916E63">
            <w:pPr>
              <w:jc w:val="left"/>
              <w:rPr>
                <w:bCs/>
                <w:sz w:val="24"/>
                <w:szCs w:val="24"/>
              </w:rPr>
            </w:pPr>
          </w:p>
          <w:p w14:paraId="6026AD25" w14:textId="77777777" w:rsidR="00291014" w:rsidRPr="00656AD3" w:rsidRDefault="00291014" w:rsidP="00916E63">
            <w:pPr>
              <w:jc w:val="left"/>
              <w:rPr>
                <w:bCs/>
                <w:sz w:val="24"/>
                <w:szCs w:val="24"/>
              </w:rPr>
            </w:pPr>
          </w:p>
          <w:p w14:paraId="46CD550F" w14:textId="77777777" w:rsidR="00291014" w:rsidRPr="00656AD3" w:rsidRDefault="00291014" w:rsidP="00916E63">
            <w:pPr>
              <w:jc w:val="left"/>
              <w:rPr>
                <w:bCs/>
                <w:sz w:val="24"/>
                <w:szCs w:val="24"/>
              </w:rPr>
            </w:pPr>
          </w:p>
          <w:p w14:paraId="4E44FA83" w14:textId="77777777" w:rsidR="00291014" w:rsidRPr="00656AD3" w:rsidRDefault="00291014" w:rsidP="00916E63">
            <w:pPr>
              <w:jc w:val="left"/>
              <w:rPr>
                <w:bCs/>
                <w:sz w:val="24"/>
                <w:szCs w:val="24"/>
              </w:rPr>
            </w:pPr>
            <w:r w:rsidRPr="00656AD3">
              <w:rPr>
                <w:bCs/>
                <w:sz w:val="24"/>
                <w:szCs w:val="24"/>
              </w:rPr>
              <w:t xml:space="preserve">The assumptions shown within the Medium Term Financial Strategy have been reviewed and where </w:t>
            </w:r>
            <w:r w:rsidRPr="00656AD3">
              <w:rPr>
                <w:bCs/>
                <w:sz w:val="24"/>
                <w:szCs w:val="24"/>
              </w:rPr>
              <w:lastRenderedPageBreak/>
              <w:t>necessary adjustments have been made</w:t>
            </w:r>
          </w:p>
          <w:p w14:paraId="474B5A2B" w14:textId="77777777" w:rsidR="00F2699A" w:rsidRPr="00656AD3" w:rsidRDefault="00F2699A" w:rsidP="00916E63">
            <w:pPr>
              <w:jc w:val="left"/>
              <w:rPr>
                <w:bCs/>
                <w:sz w:val="24"/>
                <w:szCs w:val="24"/>
              </w:rPr>
            </w:pPr>
          </w:p>
        </w:tc>
      </w:tr>
      <w:tr w:rsidR="003B0E66" w14:paraId="6811FBF2" w14:textId="77777777" w:rsidTr="003B0E66">
        <w:tc>
          <w:tcPr>
            <w:tcW w:w="1680" w:type="dxa"/>
            <w:tcBorders>
              <w:top w:val="single" w:sz="4" w:space="0" w:color="auto"/>
              <w:left w:val="single" w:sz="4" w:space="0" w:color="auto"/>
              <w:bottom w:val="single" w:sz="4" w:space="0" w:color="auto"/>
              <w:right w:val="single" w:sz="4" w:space="0" w:color="auto"/>
            </w:tcBorders>
            <w:shd w:val="clear" w:color="auto" w:fill="auto"/>
          </w:tcPr>
          <w:p w14:paraId="0DF2DFA8" w14:textId="77777777" w:rsidR="003B0E66" w:rsidRPr="003B0E66" w:rsidRDefault="003B0E66" w:rsidP="00394E10">
            <w:pPr>
              <w:jc w:val="left"/>
              <w:rPr>
                <w:bCs/>
                <w:sz w:val="24"/>
                <w:szCs w:val="24"/>
              </w:rPr>
            </w:pPr>
            <w:r w:rsidRPr="003B0E66">
              <w:rPr>
                <w:bCs/>
                <w:sz w:val="24"/>
                <w:szCs w:val="24"/>
              </w:rPr>
              <w:lastRenderedPageBreak/>
              <w:t>Increasing fees and charges will have an adverse impact on the demand for Council services</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397AF138" w14:textId="77777777" w:rsidR="003B0E66" w:rsidRPr="00CD2376" w:rsidRDefault="003B0E66" w:rsidP="00394E10">
            <w:pPr>
              <w:jc w:val="left"/>
              <w:rPr>
                <w:bCs/>
                <w:sz w:val="24"/>
                <w:szCs w:val="24"/>
              </w:rPr>
            </w:pPr>
            <w:r w:rsidRPr="00CD2376">
              <w:rPr>
                <w:bCs/>
                <w:sz w:val="24"/>
                <w:szCs w:val="24"/>
              </w:rPr>
              <w:t>A number of the Council’s budgets are dependent on external factors when it comes to achieving income targets.</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3C84CC3B" w14:textId="77777777" w:rsidR="003B0E66" w:rsidRPr="003B0E66" w:rsidRDefault="003B0E66" w:rsidP="00394E10">
            <w:pPr>
              <w:jc w:val="left"/>
              <w:rPr>
                <w:rFonts w:cs="Arial"/>
                <w:bCs/>
                <w:color w:val="000000"/>
                <w:sz w:val="24"/>
                <w:szCs w:val="24"/>
              </w:rPr>
            </w:pPr>
            <w:r w:rsidRPr="003B0E66">
              <w:rPr>
                <w:rFonts w:cs="Arial"/>
                <w:bCs/>
                <w:color w:val="000000"/>
                <w:sz w:val="24"/>
                <w:szCs w:val="24"/>
              </w:rPr>
              <w:t>Low</w:t>
            </w:r>
          </w:p>
        </w:tc>
        <w:tc>
          <w:tcPr>
            <w:tcW w:w="3480" w:type="dxa"/>
            <w:tcBorders>
              <w:top w:val="single" w:sz="4" w:space="0" w:color="auto"/>
              <w:left w:val="single" w:sz="4" w:space="0" w:color="auto"/>
              <w:bottom w:val="single" w:sz="4" w:space="0" w:color="auto"/>
              <w:right w:val="single" w:sz="4" w:space="0" w:color="auto"/>
            </w:tcBorders>
            <w:shd w:val="clear" w:color="auto" w:fill="auto"/>
          </w:tcPr>
          <w:p w14:paraId="4D9BD9EF" w14:textId="77777777" w:rsidR="003B0E66" w:rsidRPr="00CD2376" w:rsidRDefault="003B0E66" w:rsidP="00394E10">
            <w:pPr>
              <w:jc w:val="left"/>
              <w:rPr>
                <w:bCs/>
                <w:sz w:val="24"/>
                <w:szCs w:val="24"/>
              </w:rPr>
            </w:pPr>
            <w:r w:rsidRPr="00CD2376">
              <w:rPr>
                <w:bCs/>
                <w:sz w:val="24"/>
                <w:szCs w:val="24"/>
              </w:rPr>
              <w:t>Proposed increases in fees and charges are in line with the inflationary target (of 2%) set by the Bank of England.</w:t>
            </w:r>
          </w:p>
          <w:p w14:paraId="6F04923E" w14:textId="77777777" w:rsidR="003B0E66" w:rsidRPr="00CD2376" w:rsidRDefault="003B0E66" w:rsidP="00394E10">
            <w:pPr>
              <w:jc w:val="left"/>
              <w:rPr>
                <w:bCs/>
                <w:sz w:val="24"/>
                <w:szCs w:val="24"/>
              </w:rPr>
            </w:pPr>
          </w:p>
          <w:p w14:paraId="1D6B4E5C" w14:textId="77777777" w:rsidR="003B0E66" w:rsidRDefault="003B0E66" w:rsidP="00394E10">
            <w:pPr>
              <w:jc w:val="left"/>
              <w:rPr>
                <w:bCs/>
                <w:sz w:val="24"/>
                <w:szCs w:val="24"/>
              </w:rPr>
            </w:pPr>
            <w:r w:rsidRPr="00CD2376">
              <w:rPr>
                <w:bCs/>
                <w:sz w:val="24"/>
                <w:szCs w:val="24"/>
              </w:rPr>
              <w:t>Budgets are monitored on a monthly basis with any significant variances between budgeted and actual figures being reported to the Corporate Leadership Team where corrective action is sought.</w:t>
            </w:r>
          </w:p>
          <w:p w14:paraId="38A9E063" w14:textId="77777777" w:rsidR="003B0E66" w:rsidRPr="00CD2376" w:rsidRDefault="003B0E66" w:rsidP="00394E10">
            <w:pPr>
              <w:jc w:val="left"/>
              <w:rPr>
                <w:bCs/>
                <w:sz w:val="24"/>
                <w:szCs w:val="24"/>
              </w:rPr>
            </w:pPr>
          </w:p>
        </w:tc>
      </w:tr>
      <w:tr w:rsidR="000E3386" w:rsidRPr="00656AD3" w14:paraId="4532101D" w14:textId="77777777" w:rsidTr="00916E63">
        <w:tc>
          <w:tcPr>
            <w:tcW w:w="1680" w:type="dxa"/>
            <w:shd w:val="clear" w:color="auto" w:fill="auto"/>
          </w:tcPr>
          <w:p w14:paraId="14FB65C8" w14:textId="77777777" w:rsidR="000E3386" w:rsidRPr="00656AD3" w:rsidRDefault="000E3386" w:rsidP="00916E63">
            <w:pPr>
              <w:jc w:val="left"/>
              <w:rPr>
                <w:b/>
                <w:bCs/>
                <w:sz w:val="24"/>
                <w:szCs w:val="24"/>
              </w:rPr>
            </w:pPr>
            <w:r w:rsidRPr="00656AD3">
              <w:rPr>
                <w:b/>
                <w:bCs/>
                <w:sz w:val="24"/>
                <w:szCs w:val="24"/>
              </w:rPr>
              <w:t>Legal</w:t>
            </w:r>
          </w:p>
        </w:tc>
        <w:tc>
          <w:tcPr>
            <w:tcW w:w="2760" w:type="dxa"/>
            <w:shd w:val="clear" w:color="auto" w:fill="auto"/>
          </w:tcPr>
          <w:p w14:paraId="0B7C6E98" w14:textId="77777777" w:rsidR="000E3386" w:rsidRPr="00656AD3" w:rsidRDefault="000E3386" w:rsidP="00916E63">
            <w:pPr>
              <w:jc w:val="left"/>
              <w:rPr>
                <w:bCs/>
                <w:sz w:val="24"/>
                <w:szCs w:val="24"/>
              </w:rPr>
            </w:pPr>
            <w:r w:rsidRPr="00656AD3">
              <w:rPr>
                <w:bCs/>
                <w:sz w:val="24"/>
                <w:szCs w:val="24"/>
              </w:rPr>
              <w:t>That the budgets include something for which the Council does not have the necessary powers</w:t>
            </w:r>
          </w:p>
          <w:p w14:paraId="3FAB74E4" w14:textId="77777777" w:rsidR="000E3386" w:rsidRPr="00656AD3" w:rsidRDefault="000E3386" w:rsidP="00916E63">
            <w:pPr>
              <w:jc w:val="left"/>
              <w:rPr>
                <w:bCs/>
                <w:sz w:val="24"/>
                <w:szCs w:val="24"/>
              </w:rPr>
            </w:pPr>
          </w:p>
          <w:p w14:paraId="2FB02718" w14:textId="77777777" w:rsidR="000E3386" w:rsidRPr="00656AD3" w:rsidRDefault="000E3386" w:rsidP="00916E63">
            <w:pPr>
              <w:jc w:val="left"/>
              <w:rPr>
                <w:bCs/>
                <w:sz w:val="24"/>
                <w:szCs w:val="24"/>
              </w:rPr>
            </w:pPr>
          </w:p>
          <w:p w14:paraId="13D89C83" w14:textId="3A05D5DE" w:rsidR="000E3386" w:rsidRPr="00656AD3" w:rsidRDefault="000E3386" w:rsidP="00916E63">
            <w:pPr>
              <w:jc w:val="left"/>
              <w:rPr>
                <w:bCs/>
                <w:sz w:val="24"/>
                <w:szCs w:val="24"/>
              </w:rPr>
            </w:pPr>
            <w:r w:rsidRPr="00656AD3">
              <w:rPr>
                <w:bCs/>
                <w:sz w:val="24"/>
                <w:szCs w:val="24"/>
              </w:rPr>
              <w:t xml:space="preserve">If Equality Impact Assessments </w:t>
            </w:r>
            <w:r w:rsidR="00980AE0" w:rsidRPr="00656AD3">
              <w:rPr>
                <w:bCs/>
                <w:sz w:val="24"/>
                <w:szCs w:val="24"/>
              </w:rPr>
              <w:t>cannot</w:t>
            </w:r>
            <w:r w:rsidRPr="00656AD3">
              <w:rPr>
                <w:bCs/>
                <w:sz w:val="24"/>
                <w:szCs w:val="24"/>
              </w:rPr>
              <w:t xml:space="preserve"> be shown to have been carried out robustly, the Council may be open to legal challenge</w:t>
            </w:r>
          </w:p>
          <w:p w14:paraId="77F90A6E" w14:textId="77777777" w:rsidR="000E3386" w:rsidRPr="00656AD3" w:rsidRDefault="000E3386" w:rsidP="00916E63">
            <w:pPr>
              <w:jc w:val="left"/>
              <w:rPr>
                <w:bCs/>
                <w:sz w:val="24"/>
                <w:szCs w:val="24"/>
              </w:rPr>
            </w:pPr>
          </w:p>
        </w:tc>
        <w:tc>
          <w:tcPr>
            <w:tcW w:w="1200" w:type="dxa"/>
            <w:shd w:val="clear" w:color="auto" w:fill="auto"/>
          </w:tcPr>
          <w:p w14:paraId="28120AAF" w14:textId="77777777" w:rsidR="000E3386" w:rsidRPr="00656AD3" w:rsidRDefault="000E3386" w:rsidP="00916E63">
            <w:pPr>
              <w:jc w:val="left"/>
              <w:rPr>
                <w:bCs/>
                <w:sz w:val="24"/>
                <w:szCs w:val="24"/>
              </w:rPr>
            </w:pPr>
            <w:r w:rsidRPr="00656AD3">
              <w:rPr>
                <w:bCs/>
                <w:sz w:val="24"/>
                <w:szCs w:val="24"/>
              </w:rPr>
              <w:t>Low</w:t>
            </w:r>
          </w:p>
          <w:p w14:paraId="5730A4A1" w14:textId="77777777" w:rsidR="000E3386" w:rsidRPr="00656AD3" w:rsidRDefault="000E3386" w:rsidP="00916E63">
            <w:pPr>
              <w:jc w:val="left"/>
              <w:rPr>
                <w:bCs/>
                <w:sz w:val="24"/>
                <w:szCs w:val="24"/>
              </w:rPr>
            </w:pPr>
          </w:p>
          <w:p w14:paraId="00289227" w14:textId="77777777" w:rsidR="000E3386" w:rsidRPr="00656AD3" w:rsidRDefault="000E3386" w:rsidP="00916E63">
            <w:pPr>
              <w:jc w:val="left"/>
              <w:rPr>
                <w:bCs/>
                <w:sz w:val="24"/>
                <w:szCs w:val="24"/>
              </w:rPr>
            </w:pPr>
          </w:p>
          <w:p w14:paraId="2F7B9798" w14:textId="77777777" w:rsidR="000E3386" w:rsidRPr="00656AD3" w:rsidRDefault="000E3386" w:rsidP="00916E63">
            <w:pPr>
              <w:jc w:val="left"/>
              <w:rPr>
                <w:bCs/>
                <w:sz w:val="24"/>
                <w:szCs w:val="24"/>
              </w:rPr>
            </w:pPr>
          </w:p>
          <w:p w14:paraId="33736941" w14:textId="77777777" w:rsidR="000E3386" w:rsidRPr="00656AD3" w:rsidRDefault="000E3386" w:rsidP="00916E63">
            <w:pPr>
              <w:jc w:val="left"/>
              <w:rPr>
                <w:bCs/>
                <w:sz w:val="24"/>
                <w:szCs w:val="24"/>
              </w:rPr>
            </w:pPr>
          </w:p>
          <w:p w14:paraId="6D99ABF7" w14:textId="77777777" w:rsidR="000E3386" w:rsidRPr="00656AD3" w:rsidRDefault="000E3386" w:rsidP="00916E63">
            <w:pPr>
              <w:jc w:val="left"/>
              <w:rPr>
                <w:bCs/>
                <w:sz w:val="24"/>
                <w:szCs w:val="24"/>
              </w:rPr>
            </w:pPr>
          </w:p>
          <w:p w14:paraId="3B671C44" w14:textId="77777777" w:rsidR="000E3386" w:rsidRPr="00656AD3" w:rsidRDefault="000E3386" w:rsidP="00916E63">
            <w:pPr>
              <w:jc w:val="left"/>
              <w:rPr>
                <w:bCs/>
                <w:sz w:val="24"/>
                <w:szCs w:val="24"/>
              </w:rPr>
            </w:pPr>
          </w:p>
          <w:p w14:paraId="7DB42827" w14:textId="77777777" w:rsidR="000E3386" w:rsidRPr="00656AD3" w:rsidRDefault="000E3386" w:rsidP="00916E63">
            <w:pPr>
              <w:jc w:val="left"/>
              <w:rPr>
                <w:bCs/>
                <w:sz w:val="24"/>
                <w:szCs w:val="24"/>
              </w:rPr>
            </w:pPr>
            <w:r w:rsidRPr="00656AD3">
              <w:rPr>
                <w:bCs/>
                <w:sz w:val="24"/>
                <w:szCs w:val="24"/>
              </w:rPr>
              <w:t>Medium</w:t>
            </w:r>
          </w:p>
        </w:tc>
        <w:tc>
          <w:tcPr>
            <w:tcW w:w="3480" w:type="dxa"/>
            <w:shd w:val="clear" w:color="auto" w:fill="auto"/>
          </w:tcPr>
          <w:p w14:paraId="03755D01" w14:textId="77777777" w:rsidR="000E3386" w:rsidRPr="00656AD3" w:rsidRDefault="000E3386" w:rsidP="00916E63">
            <w:pPr>
              <w:jc w:val="left"/>
              <w:rPr>
                <w:bCs/>
                <w:sz w:val="24"/>
                <w:szCs w:val="24"/>
              </w:rPr>
            </w:pPr>
            <w:r w:rsidRPr="00656AD3">
              <w:rPr>
                <w:bCs/>
                <w:sz w:val="24"/>
                <w:szCs w:val="24"/>
              </w:rPr>
              <w:t>The proposals for efficiencies which require changes in operation or service delivery will be subject to legal consultation prior to implementation</w:t>
            </w:r>
          </w:p>
          <w:p w14:paraId="487D9427" w14:textId="77777777" w:rsidR="000E3386" w:rsidRPr="00656AD3" w:rsidRDefault="000E3386" w:rsidP="00916E63">
            <w:pPr>
              <w:jc w:val="left"/>
              <w:rPr>
                <w:bCs/>
                <w:sz w:val="24"/>
                <w:szCs w:val="24"/>
              </w:rPr>
            </w:pPr>
          </w:p>
          <w:p w14:paraId="14A97D21" w14:textId="77777777" w:rsidR="000E3386" w:rsidRPr="00656AD3" w:rsidRDefault="000E3386" w:rsidP="00916E63">
            <w:pPr>
              <w:jc w:val="left"/>
              <w:rPr>
                <w:bCs/>
                <w:sz w:val="24"/>
                <w:szCs w:val="24"/>
              </w:rPr>
            </w:pPr>
            <w:r w:rsidRPr="00656AD3">
              <w:rPr>
                <w:bCs/>
                <w:sz w:val="24"/>
                <w:szCs w:val="24"/>
              </w:rPr>
              <w:t>Equality Impact Assessment completed for individual proposals and on the overall budget</w:t>
            </w:r>
          </w:p>
        </w:tc>
      </w:tr>
      <w:tr w:rsidR="007F1CE5" w:rsidRPr="00656AD3" w14:paraId="35B0FABB" w14:textId="77777777" w:rsidTr="00916E63">
        <w:tc>
          <w:tcPr>
            <w:tcW w:w="1680" w:type="dxa"/>
            <w:shd w:val="clear" w:color="auto" w:fill="auto"/>
          </w:tcPr>
          <w:p w14:paraId="34389FFA" w14:textId="12DE428A" w:rsidR="007F1CE5" w:rsidRPr="00656AD3" w:rsidRDefault="007F1CE5" w:rsidP="007F1CE5">
            <w:pPr>
              <w:jc w:val="left"/>
              <w:rPr>
                <w:b/>
                <w:bCs/>
                <w:sz w:val="24"/>
                <w:szCs w:val="24"/>
              </w:rPr>
            </w:pPr>
            <w:r w:rsidRPr="00656AD3">
              <w:rPr>
                <w:b/>
                <w:bCs/>
                <w:sz w:val="24"/>
                <w:szCs w:val="24"/>
              </w:rPr>
              <w:t>Reputational</w:t>
            </w:r>
          </w:p>
        </w:tc>
        <w:tc>
          <w:tcPr>
            <w:tcW w:w="2760" w:type="dxa"/>
            <w:shd w:val="clear" w:color="auto" w:fill="auto"/>
          </w:tcPr>
          <w:p w14:paraId="7B5E1B73" w14:textId="73AB6A97" w:rsidR="007F1CE5" w:rsidRPr="00656AD3" w:rsidRDefault="007F1CE5" w:rsidP="007F1CE5">
            <w:pPr>
              <w:jc w:val="left"/>
              <w:rPr>
                <w:bCs/>
                <w:sz w:val="24"/>
                <w:szCs w:val="24"/>
              </w:rPr>
            </w:pPr>
            <w:r w:rsidRPr="00656AD3">
              <w:rPr>
                <w:bCs/>
                <w:sz w:val="24"/>
                <w:szCs w:val="24"/>
              </w:rPr>
              <w:t>That the proposed budgets damage the Council’s reputation</w:t>
            </w:r>
          </w:p>
        </w:tc>
        <w:tc>
          <w:tcPr>
            <w:tcW w:w="1200" w:type="dxa"/>
            <w:shd w:val="clear" w:color="auto" w:fill="auto"/>
          </w:tcPr>
          <w:p w14:paraId="644FFE9D" w14:textId="1225277B" w:rsidR="007F1CE5" w:rsidRPr="00656AD3" w:rsidRDefault="007F1CE5" w:rsidP="007F1CE5">
            <w:pPr>
              <w:jc w:val="left"/>
              <w:rPr>
                <w:bCs/>
                <w:sz w:val="24"/>
                <w:szCs w:val="24"/>
              </w:rPr>
            </w:pPr>
            <w:r w:rsidRPr="00656AD3">
              <w:rPr>
                <w:bCs/>
                <w:sz w:val="24"/>
                <w:szCs w:val="24"/>
              </w:rPr>
              <w:t>Low</w:t>
            </w:r>
          </w:p>
        </w:tc>
        <w:tc>
          <w:tcPr>
            <w:tcW w:w="3480" w:type="dxa"/>
            <w:shd w:val="clear" w:color="auto" w:fill="auto"/>
          </w:tcPr>
          <w:p w14:paraId="6BE7C657" w14:textId="366860A4" w:rsidR="007F1CE5" w:rsidRPr="00656AD3" w:rsidRDefault="007F1CE5" w:rsidP="007F1CE5">
            <w:pPr>
              <w:jc w:val="left"/>
              <w:rPr>
                <w:bCs/>
                <w:sz w:val="24"/>
                <w:szCs w:val="24"/>
              </w:rPr>
            </w:pPr>
            <w:r w:rsidRPr="00656AD3">
              <w:rPr>
                <w:bCs/>
                <w:sz w:val="24"/>
                <w:szCs w:val="24"/>
              </w:rPr>
              <w:t>The proposals are in line with the Council’s statutory and corporate objectives</w:t>
            </w:r>
          </w:p>
        </w:tc>
      </w:tr>
      <w:tr w:rsidR="007F1CE5" w:rsidRPr="00656AD3" w14:paraId="3B517F17" w14:textId="77777777" w:rsidTr="00916E63">
        <w:tc>
          <w:tcPr>
            <w:tcW w:w="1680" w:type="dxa"/>
            <w:shd w:val="clear" w:color="auto" w:fill="auto"/>
          </w:tcPr>
          <w:p w14:paraId="1AB543BC" w14:textId="5D504DF1" w:rsidR="007F1CE5" w:rsidRPr="00656AD3" w:rsidRDefault="007F1CE5" w:rsidP="007F1CE5">
            <w:pPr>
              <w:jc w:val="left"/>
              <w:rPr>
                <w:b/>
                <w:bCs/>
                <w:sz w:val="24"/>
                <w:szCs w:val="24"/>
              </w:rPr>
            </w:pPr>
            <w:r w:rsidRPr="00656AD3">
              <w:rPr>
                <w:b/>
                <w:bCs/>
                <w:sz w:val="24"/>
                <w:szCs w:val="24"/>
              </w:rPr>
              <w:t>Employee Relations</w:t>
            </w:r>
          </w:p>
        </w:tc>
        <w:tc>
          <w:tcPr>
            <w:tcW w:w="2760" w:type="dxa"/>
            <w:shd w:val="clear" w:color="auto" w:fill="auto"/>
          </w:tcPr>
          <w:p w14:paraId="36F4375F" w14:textId="6CCAF2A3" w:rsidR="007F1CE5" w:rsidRPr="00656AD3" w:rsidRDefault="007F1CE5" w:rsidP="007F1CE5">
            <w:pPr>
              <w:jc w:val="left"/>
              <w:rPr>
                <w:bCs/>
                <w:sz w:val="24"/>
                <w:szCs w:val="24"/>
              </w:rPr>
            </w:pPr>
            <w:r w:rsidRPr="00656AD3">
              <w:rPr>
                <w:bCs/>
                <w:sz w:val="24"/>
                <w:szCs w:val="24"/>
              </w:rPr>
              <w:t>Employee relations may become strained as a result of budget proposals for savings and efficiencies</w:t>
            </w:r>
          </w:p>
        </w:tc>
        <w:tc>
          <w:tcPr>
            <w:tcW w:w="1200" w:type="dxa"/>
            <w:shd w:val="clear" w:color="auto" w:fill="auto"/>
          </w:tcPr>
          <w:p w14:paraId="51FD1A91" w14:textId="40CB3A1F" w:rsidR="007F1CE5" w:rsidRPr="00656AD3" w:rsidRDefault="007F1CE5" w:rsidP="007F1CE5">
            <w:pPr>
              <w:jc w:val="left"/>
              <w:rPr>
                <w:bCs/>
                <w:sz w:val="24"/>
                <w:szCs w:val="24"/>
              </w:rPr>
            </w:pPr>
            <w:r w:rsidRPr="00656AD3">
              <w:rPr>
                <w:bCs/>
                <w:sz w:val="24"/>
                <w:szCs w:val="24"/>
              </w:rPr>
              <w:t>Medium</w:t>
            </w:r>
          </w:p>
        </w:tc>
        <w:tc>
          <w:tcPr>
            <w:tcW w:w="3480" w:type="dxa"/>
            <w:shd w:val="clear" w:color="auto" w:fill="auto"/>
          </w:tcPr>
          <w:p w14:paraId="75F10B75" w14:textId="4F81881C" w:rsidR="007F1CE5" w:rsidRPr="00656AD3" w:rsidRDefault="007F1CE5" w:rsidP="007F1CE5">
            <w:pPr>
              <w:jc w:val="left"/>
              <w:rPr>
                <w:bCs/>
                <w:sz w:val="24"/>
                <w:szCs w:val="24"/>
              </w:rPr>
            </w:pPr>
            <w:r w:rsidRPr="00656AD3">
              <w:rPr>
                <w:bCs/>
                <w:sz w:val="24"/>
                <w:szCs w:val="24"/>
              </w:rPr>
              <w:t>Communication and consultation with Trade Unions and employees as affected</w:t>
            </w:r>
          </w:p>
        </w:tc>
      </w:tr>
    </w:tbl>
    <w:p w14:paraId="6D733E09" w14:textId="77777777" w:rsidR="007F1CE5" w:rsidRDefault="007F1CE5" w:rsidP="007F1CE5"/>
    <w:p w14:paraId="52E1C3EA" w14:textId="77777777" w:rsidR="007F1CE5" w:rsidRDefault="007F1CE5" w:rsidP="007F1CE5"/>
    <w:p w14:paraId="512DA609" w14:textId="791FC552" w:rsidR="0089260C" w:rsidRPr="007F1CE5" w:rsidRDefault="007B16CE" w:rsidP="007F1CE5">
      <w:r w:rsidRPr="00656AD3">
        <w:rPr>
          <w:b/>
          <w:sz w:val="24"/>
          <w:szCs w:val="24"/>
        </w:rPr>
        <w:t>6</w:t>
      </w:r>
      <w:r w:rsidR="0089260C" w:rsidRPr="00656AD3">
        <w:rPr>
          <w:b/>
          <w:sz w:val="24"/>
          <w:szCs w:val="24"/>
        </w:rPr>
        <w:t>.</w:t>
      </w:r>
      <w:r w:rsidR="0089260C" w:rsidRPr="00656AD3">
        <w:rPr>
          <w:b/>
          <w:sz w:val="24"/>
          <w:szCs w:val="24"/>
        </w:rPr>
        <w:tab/>
        <w:t>ALIGNMENT TO COUNCIL PRIORITIES</w:t>
      </w:r>
    </w:p>
    <w:p w14:paraId="5F47871A" w14:textId="77777777" w:rsidR="00BE210E" w:rsidRPr="00656AD3" w:rsidRDefault="00BE210E" w:rsidP="0073669D">
      <w:pPr>
        <w:ind w:hanging="851"/>
        <w:jc w:val="left"/>
        <w:rPr>
          <w:sz w:val="24"/>
          <w:szCs w:val="24"/>
        </w:rPr>
      </w:pPr>
    </w:p>
    <w:p w14:paraId="5616D67F" w14:textId="048DC1D0" w:rsidR="00B76F23" w:rsidRPr="00656AD3" w:rsidRDefault="00495589" w:rsidP="0073669D">
      <w:pPr>
        <w:ind w:left="851" w:hanging="851"/>
        <w:jc w:val="left"/>
        <w:rPr>
          <w:sz w:val="24"/>
          <w:szCs w:val="24"/>
        </w:rPr>
      </w:pPr>
      <w:r w:rsidRPr="00656AD3">
        <w:rPr>
          <w:sz w:val="24"/>
          <w:szCs w:val="24"/>
        </w:rPr>
        <w:t>6.1</w:t>
      </w:r>
      <w:r w:rsidRPr="00656AD3">
        <w:rPr>
          <w:sz w:val="24"/>
          <w:szCs w:val="24"/>
        </w:rPr>
        <w:tab/>
      </w:r>
      <w:r w:rsidR="00256B13" w:rsidRPr="00372FEA">
        <w:rPr>
          <w:sz w:val="24"/>
          <w:szCs w:val="24"/>
        </w:rPr>
        <w:t xml:space="preserve">The proposals for this budget have been developed in line with the Council’s priorities as stated in the </w:t>
      </w:r>
      <w:r w:rsidR="00980AE0">
        <w:rPr>
          <w:sz w:val="24"/>
          <w:szCs w:val="24"/>
        </w:rPr>
        <w:t xml:space="preserve">strategy </w:t>
      </w:r>
      <w:proofErr w:type="gramStart"/>
      <w:r w:rsidR="00372FEA" w:rsidRPr="003B0E66">
        <w:rPr>
          <w:b/>
          <w:sz w:val="24"/>
          <w:szCs w:val="24"/>
        </w:rPr>
        <w:t>Towards</w:t>
      </w:r>
      <w:proofErr w:type="gramEnd"/>
      <w:r w:rsidR="00372FEA" w:rsidRPr="003B0E66">
        <w:rPr>
          <w:b/>
          <w:sz w:val="24"/>
          <w:szCs w:val="24"/>
        </w:rPr>
        <w:t xml:space="preserve"> 2030: A Strategy for Mansfield</w:t>
      </w:r>
      <w:r w:rsidR="00A43150" w:rsidRPr="00372FEA">
        <w:rPr>
          <w:sz w:val="24"/>
          <w:szCs w:val="24"/>
        </w:rPr>
        <w:t>.</w:t>
      </w:r>
    </w:p>
    <w:p w14:paraId="452FAF1C" w14:textId="77777777" w:rsidR="0089260C" w:rsidRPr="00656AD3" w:rsidRDefault="0089260C" w:rsidP="0073669D">
      <w:pPr>
        <w:ind w:left="851" w:hanging="851"/>
        <w:jc w:val="left"/>
        <w:rPr>
          <w:sz w:val="24"/>
          <w:szCs w:val="24"/>
        </w:rPr>
      </w:pPr>
    </w:p>
    <w:p w14:paraId="515DB15E" w14:textId="77777777" w:rsidR="00295776" w:rsidRPr="00656AD3" w:rsidRDefault="00295776" w:rsidP="0073669D">
      <w:pPr>
        <w:ind w:left="851" w:hanging="851"/>
        <w:jc w:val="left"/>
        <w:rPr>
          <w:sz w:val="24"/>
          <w:szCs w:val="24"/>
        </w:rPr>
      </w:pPr>
    </w:p>
    <w:p w14:paraId="126A4814" w14:textId="77777777" w:rsidR="00BE210E" w:rsidRPr="00656AD3" w:rsidRDefault="007B16CE" w:rsidP="0073669D">
      <w:pPr>
        <w:ind w:left="851" w:hanging="851"/>
        <w:jc w:val="left"/>
        <w:rPr>
          <w:b/>
          <w:sz w:val="24"/>
          <w:szCs w:val="24"/>
        </w:rPr>
      </w:pPr>
      <w:r w:rsidRPr="00656AD3">
        <w:rPr>
          <w:b/>
          <w:sz w:val="24"/>
          <w:szCs w:val="24"/>
        </w:rPr>
        <w:t>7</w:t>
      </w:r>
      <w:r w:rsidR="00B920DF" w:rsidRPr="00656AD3">
        <w:rPr>
          <w:b/>
          <w:sz w:val="24"/>
          <w:szCs w:val="24"/>
        </w:rPr>
        <w:t>.</w:t>
      </w:r>
      <w:r w:rsidR="00B920DF" w:rsidRPr="00656AD3">
        <w:rPr>
          <w:b/>
          <w:sz w:val="24"/>
          <w:szCs w:val="24"/>
        </w:rPr>
        <w:tab/>
        <w:t>I</w:t>
      </w:r>
      <w:r w:rsidR="00BE210E" w:rsidRPr="00656AD3">
        <w:rPr>
          <w:b/>
          <w:sz w:val="24"/>
          <w:szCs w:val="24"/>
        </w:rPr>
        <w:t xml:space="preserve">MPLICATIONS </w:t>
      </w:r>
    </w:p>
    <w:p w14:paraId="125BF472" w14:textId="77777777" w:rsidR="00BE210E" w:rsidRPr="00656AD3" w:rsidRDefault="00BE210E" w:rsidP="0073669D">
      <w:pPr>
        <w:ind w:left="851" w:hanging="851"/>
        <w:jc w:val="left"/>
        <w:rPr>
          <w:sz w:val="24"/>
          <w:szCs w:val="24"/>
        </w:rPr>
      </w:pPr>
    </w:p>
    <w:p w14:paraId="6CBD7056" w14:textId="77777777" w:rsidR="007B16CE" w:rsidRPr="00656AD3" w:rsidRDefault="007B16CE" w:rsidP="0073669D">
      <w:pPr>
        <w:ind w:left="851" w:hanging="851"/>
        <w:jc w:val="left"/>
        <w:rPr>
          <w:rFonts w:cs="Arial"/>
          <w:sz w:val="24"/>
          <w:szCs w:val="24"/>
        </w:rPr>
      </w:pPr>
      <w:r w:rsidRPr="00656AD3">
        <w:rPr>
          <w:sz w:val="24"/>
          <w:szCs w:val="24"/>
        </w:rPr>
        <w:t>(a)</w:t>
      </w:r>
      <w:r w:rsidRPr="00656AD3">
        <w:rPr>
          <w:sz w:val="24"/>
          <w:szCs w:val="24"/>
        </w:rPr>
        <w:tab/>
        <w:t xml:space="preserve">Relevant Legislation – </w:t>
      </w:r>
      <w:r w:rsidR="00C9136D" w:rsidRPr="00656AD3">
        <w:rPr>
          <w:rFonts w:cs="Arial"/>
          <w:sz w:val="24"/>
          <w:szCs w:val="24"/>
        </w:rPr>
        <w:t xml:space="preserve">It is a statutory requirement under Section 33 of the Local Government Finance Act 1992, for the Council to produce a balanced budget.  </w:t>
      </w:r>
    </w:p>
    <w:p w14:paraId="3A8B728D" w14:textId="77777777" w:rsidR="00FD3010" w:rsidRPr="00656AD3" w:rsidRDefault="00FD3010" w:rsidP="0073669D">
      <w:pPr>
        <w:ind w:left="720" w:hanging="851"/>
        <w:jc w:val="left"/>
        <w:rPr>
          <w:rFonts w:cs="Arial"/>
          <w:sz w:val="24"/>
          <w:szCs w:val="24"/>
        </w:rPr>
      </w:pPr>
    </w:p>
    <w:p w14:paraId="12B666DD" w14:textId="77777777" w:rsidR="00FD3010" w:rsidRPr="00656AD3" w:rsidRDefault="00FD3010" w:rsidP="0073669D">
      <w:pPr>
        <w:ind w:left="1134" w:hanging="283"/>
        <w:jc w:val="left"/>
        <w:rPr>
          <w:rFonts w:cs="Arial"/>
          <w:sz w:val="24"/>
          <w:szCs w:val="24"/>
        </w:rPr>
      </w:pPr>
      <w:r w:rsidRPr="00656AD3">
        <w:rPr>
          <w:rFonts w:cs="Arial"/>
          <w:sz w:val="24"/>
          <w:szCs w:val="24"/>
        </w:rPr>
        <w:t>The Council’s budget also adheres to the following legislation:</w:t>
      </w:r>
    </w:p>
    <w:p w14:paraId="7A94E561" w14:textId="77777777" w:rsidR="00FD3010" w:rsidRPr="00656AD3" w:rsidRDefault="00FD3010" w:rsidP="0073669D">
      <w:pPr>
        <w:numPr>
          <w:ilvl w:val="1"/>
          <w:numId w:val="5"/>
        </w:numPr>
        <w:ind w:left="1134" w:hanging="283"/>
        <w:jc w:val="left"/>
        <w:rPr>
          <w:rFonts w:cs="Arial"/>
          <w:sz w:val="24"/>
          <w:szCs w:val="24"/>
        </w:rPr>
      </w:pPr>
      <w:r w:rsidRPr="00656AD3">
        <w:rPr>
          <w:rFonts w:cs="Arial"/>
          <w:sz w:val="24"/>
          <w:szCs w:val="24"/>
        </w:rPr>
        <w:t>Local Government Act 1972</w:t>
      </w:r>
    </w:p>
    <w:p w14:paraId="3D30A3D0" w14:textId="77777777" w:rsidR="00FD3010" w:rsidRPr="00656AD3" w:rsidRDefault="00FD3010" w:rsidP="0073669D">
      <w:pPr>
        <w:numPr>
          <w:ilvl w:val="1"/>
          <w:numId w:val="5"/>
        </w:numPr>
        <w:ind w:left="1134" w:hanging="283"/>
        <w:jc w:val="left"/>
        <w:rPr>
          <w:rFonts w:cs="Arial"/>
          <w:sz w:val="24"/>
          <w:szCs w:val="24"/>
        </w:rPr>
      </w:pPr>
      <w:r w:rsidRPr="00656AD3">
        <w:rPr>
          <w:rFonts w:cs="Arial"/>
          <w:sz w:val="24"/>
          <w:szCs w:val="24"/>
        </w:rPr>
        <w:t>Local Government Finance Act 1972</w:t>
      </w:r>
    </w:p>
    <w:p w14:paraId="0E0939DB" w14:textId="77777777" w:rsidR="00FD3010" w:rsidRPr="00656AD3" w:rsidRDefault="00FD3010" w:rsidP="0073669D">
      <w:pPr>
        <w:numPr>
          <w:ilvl w:val="1"/>
          <w:numId w:val="5"/>
        </w:numPr>
        <w:ind w:left="1134" w:hanging="283"/>
        <w:jc w:val="left"/>
        <w:rPr>
          <w:rFonts w:cs="Arial"/>
          <w:sz w:val="24"/>
          <w:szCs w:val="24"/>
        </w:rPr>
      </w:pPr>
      <w:r w:rsidRPr="00656AD3">
        <w:rPr>
          <w:rFonts w:cs="Arial"/>
          <w:sz w:val="24"/>
          <w:szCs w:val="24"/>
        </w:rPr>
        <w:t>Local Government Finance Act 1988</w:t>
      </w:r>
    </w:p>
    <w:p w14:paraId="12FD517D" w14:textId="77777777" w:rsidR="00FD3010" w:rsidRPr="00656AD3" w:rsidRDefault="00FD3010" w:rsidP="0073669D">
      <w:pPr>
        <w:numPr>
          <w:ilvl w:val="1"/>
          <w:numId w:val="5"/>
        </w:numPr>
        <w:ind w:left="1134" w:hanging="283"/>
        <w:jc w:val="left"/>
        <w:rPr>
          <w:rFonts w:cs="Arial"/>
          <w:sz w:val="24"/>
          <w:szCs w:val="24"/>
        </w:rPr>
      </w:pPr>
      <w:r w:rsidRPr="00656AD3">
        <w:rPr>
          <w:rFonts w:cs="Arial"/>
          <w:sz w:val="24"/>
          <w:szCs w:val="24"/>
        </w:rPr>
        <w:t>Local Government and Housing Act 1989</w:t>
      </w:r>
    </w:p>
    <w:p w14:paraId="1B2BF477" w14:textId="77777777" w:rsidR="00BB3F6B" w:rsidRPr="00656AD3" w:rsidRDefault="00BB3F6B" w:rsidP="0073669D">
      <w:pPr>
        <w:numPr>
          <w:ilvl w:val="1"/>
          <w:numId w:val="5"/>
        </w:numPr>
        <w:ind w:left="1134" w:hanging="283"/>
        <w:jc w:val="left"/>
        <w:rPr>
          <w:rFonts w:cs="Arial"/>
          <w:sz w:val="24"/>
          <w:szCs w:val="24"/>
        </w:rPr>
      </w:pPr>
      <w:r w:rsidRPr="00656AD3">
        <w:rPr>
          <w:rFonts w:cs="Arial"/>
          <w:color w:val="000000"/>
          <w:sz w:val="24"/>
          <w:szCs w:val="24"/>
        </w:rPr>
        <w:t>Local Authorities (Functions and Responsibilities) (England) Regulations 2000</w:t>
      </w:r>
    </w:p>
    <w:p w14:paraId="004E3AB9" w14:textId="77777777" w:rsidR="00FD3010" w:rsidRPr="00656AD3" w:rsidRDefault="00FD3010" w:rsidP="0073669D">
      <w:pPr>
        <w:numPr>
          <w:ilvl w:val="1"/>
          <w:numId w:val="5"/>
        </w:numPr>
        <w:ind w:left="1134" w:hanging="283"/>
        <w:jc w:val="left"/>
        <w:rPr>
          <w:rFonts w:cs="Arial"/>
          <w:sz w:val="24"/>
          <w:szCs w:val="24"/>
        </w:rPr>
      </w:pPr>
      <w:r w:rsidRPr="00656AD3">
        <w:rPr>
          <w:rFonts w:cs="Arial"/>
          <w:sz w:val="24"/>
          <w:szCs w:val="24"/>
        </w:rPr>
        <w:t>The Local Authorities (Capital Finance and Accounting)(England) Regulations 2003</w:t>
      </w:r>
    </w:p>
    <w:p w14:paraId="542F753E" w14:textId="77777777" w:rsidR="007B16CE" w:rsidRPr="00656AD3" w:rsidRDefault="007B16CE" w:rsidP="0073669D">
      <w:pPr>
        <w:ind w:left="720" w:hanging="851"/>
        <w:jc w:val="left"/>
        <w:rPr>
          <w:sz w:val="24"/>
          <w:szCs w:val="24"/>
        </w:rPr>
      </w:pPr>
    </w:p>
    <w:p w14:paraId="3BB1A18B" w14:textId="77777777" w:rsidR="007B16CE" w:rsidRPr="00656AD3" w:rsidRDefault="007B16CE" w:rsidP="0073669D">
      <w:pPr>
        <w:ind w:left="851" w:hanging="851"/>
        <w:jc w:val="left"/>
        <w:rPr>
          <w:sz w:val="24"/>
          <w:szCs w:val="24"/>
        </w:rPr>
      </w:pPr>
      <w:r w:rsidRPr="00656AD3">
        <w:rPr>
          <w:sz w:val="24"/>
          <w:szCs w:val="24"/>
        </w:rPr>
        <w:t>(b)</w:t>
      </w:r>
      <w:r w:rsidRPr="00656AD3">
        <w:rPr>
          <w:sz w:val="24"/>
          <w:szCs w:val="24"/>
        </w:rPr>
        <w:tab/>
        <w:t xml:space="preserve">Human Rights – </w:t>
      </w:r>
      <w:r w:rsidR="00FD3010" w:rsidRPr="00656AD3">
        <w:rPr>
          <w:sz w:val="24"/>
          <w:szCs w:val="24"/>
        </w:rPr>
        <w:t>No impact</w:t>
      </w:r>
    </w:p>
    <w:p w14:paraId="288F2771" w14:textId="77777777" w:rsidR="007B16CE" w:rsidRPr="00656AD3" w:rsidRDefault="007B16CE" w:rsidP="0073669D">
      <w:pPr>
        <w:ind w:left="851" w:hanging="851"/>
        <w:jc w:val="left"/>
        <w:rPr>
          <w:sz w:val="24"/>
          <w:szCs w:val="24"/>
        </w:rPr>
      </w:pPr>
    </w:p>
    <w:p w14:paraId="16E8DAA4" w14:textId="77777777" w:rsidR="007B16CE" w:rsidRPr="00656AD3" w:rsidRDefault="007B16CE" w:rsidP="0073669D">
      <w:pPr>
        <w:ind w:left="851" w:hanging="851"/>
        <w:jc w:val="left"/>
        <w:rPr>
          <w:sz w:val="24"/>
          <w:szCs w:val="24"/>
        </w:rPr>
      </w:pPr>
      <w:r w:rsidRPr="00656AD3">
        <w:rPr>
          <w:sz w:val="24"/>
          <w:szCs w:val="24"/>
        </w:rPr>
        <w:t>(c)</w:t>
      </w:r>
      <w:r w:rsidRPr="00656AD3">
        <w:rPr>
          <w:sz w:val="24"/>
          <w:szCs w:val="24"/>
        </w:rPr>
        <w:tab/>
        <w:t xml:space="preserve">Equality and Diversity – </w:t>
      </w:r>
      <w:r w:rsidR="00770D91" w:rsidRPr="00656AD3">
        <w:rPr>
          <w:sz w:val="24"/>
          <w:szCs w:val="24"/>
        </w:rPr>
        <w:t xml:space="preserve">Equality Impact Assessments </w:t>
      </w:r>
      <w:r w:rsidR="00600EC5" w:rsidRPr="00656AD3">
        <w:rPr>
          <w:sz w:val="24"/>
          <w:szCs w:val="24"/>
        </w:rPr>
        <w:t>will be</w:t>
      </w:r>
      <w:r w:rsidR="00770D91" w:rsidRPr="00656AD3">
        <w:rPr>
          <w:sz w:val="24"/>
          <w:szCs w:val="24"/>
        </w:rPr>
        <w:t xml:space="preserve"> undertaken</w:t>
      </w:r>
      <w:r w:rsidR="00B81AF9" w:rsidRPr="00656AD3">
        <w:rPr>
          <w:sz w:val="24"/>
          <w:szCs w:val="24"/>
        </w:rPr>
        <w:t xml:space="preserve"> by services where cuts and efficiency savings may impact on the level and quality of services received by residents and businesses within Mansfield.  </w:t>
      </w:r>
    </w:p>
    <w:p w14:paraId="7E188F14" w14:textId="77777777" w:rsidR="007B16CE" w:rsidRPr="00656AD3" w:rsidRDefault="007B16CE" w:rsidP="0073669D">
      <w:pPr>
        <w:ind w:left="851" w:hanging="851"/>
        <w:jc w:val="left"/>
        <w:rPr>
          <w:sz w:val="24"/>
          <w:szCs w:val="24"/>
        </w:rPr>
      </w:pPr>
    </w:p>
    <w:p w14:paraId="0F35F9BD" w14:textId="77777777" w:rsidR="00C9136D" w:rsidRPr="00656AD3" w:rsidRDefault="007B16CE" w:rsidP="0073669D">
      <w:pPr>
        <w:ind w:left="851" w:hanging="851"/>
        <w:jc w:val="left"/>
        <w:rPr>
          <w:rFonts w:cs="Arial"/>
          <w:sz w:val="24"/>
          <w:szCs w:val="24"/>
        </w:rPr>
      </w:pPr>
      <w:r w:rsidRPr="00656AD3">
        <w:rPr>
          <w:sz w:val="24"/>
          <w:szCs w:val="24"/>
        </w:rPr>
        <w:t>(d)</w:t>
      </w:r>
      <w:r w:rsidRPr="00656AD3">
        <w:rPr>
          <w:sz w:val="24"/>
          <w:szCs w:val="24"/>
        </w:rPr>
        <w:tab/>
        <w:t xml:space="preserve">Climate change and environmental sustainability – </w:t>
      </w:r>
      <w:r w:rsidR="00C9136D" w:rsidRPr="00656AD3">
        <w:rPr>
          <w:rFonts w:cs="Arial"/>
          <w:sz w:val="24"/>
          <w:szCs w:val="24"/>
        </w:rPr>
        <w:t xml:space="preserve">The revenue budget contains schemes which are designed to reduce the Council’s carbon footprint as well as reducing CO2 emissions across the district.  </w:t>
      </w:r>
    </w:p>
    <w:p w14:paraId="24BA8AB9" w14:textId="77777777" w:rsidR="007B16CE" w:rsidRPr="00656AD3" w:rsidRDefault="007B16CE" w:rsidP="0073669D">
      <w:pPr>
        <w:ind w:left="851" w:hanging="851"/>
        <w:jc w:val="left"/>
        <w:rPr>
          <w:sz w:val="24"/>
          <w:szCs w:val="24"/>
        </w:rPr>
      </w:pPr>
    </w:p>
    <w:p w14:paraId="2368A47D" w14:textId="77777777" w:rsidR="007B16CE" w:rsidRPr="00656AD3" w:rsidRDefault="007B16CE" w:rsidP="0073669D">
      <w:pPr>
        <w:ind w:left="851" w:hanging="851"/>
        <w:jc w:val="left"/>
        <w:rPr>
          <w:sz w:val="24"/>
          <w:szCs w:val="24"/>
        </w:rPr>
      </w:pPr>
      <w:r w:rsidRPr="00656AD3">
        <w:rPr>
          <w:sz w:val="24"/>
          <w:szCs w:val="24"/>
        </w:rPr>
        <w:t>(e)</w:t>
      </w:r>
      <w:r w:rsidRPr="00656AD3">
        <w:rPr>
          <w:sz w:val="24"/>
          <w:szCs w:val="24"/>
        </w:rPr>
        <w:tab/>
        <w:t xml:space="preserve">Crime and disorder – </w:t>
      </w:r>
      <w:r w:rsidR="00C9136D" w:rsidRPr="00656AD3">
        <w:rPr>
          <w:sz w:val="24"/>
          <w:szCs w:val="24"/>
        </w:rPr>
        <w:t>The revenue budget contains services which are designed to reduce crime and disorder.</w:t>
      </w:r>
    </w:p>
    <w:p w14:paraId="007B1B9E" w14:textId="77777777" w:rsidR="007B16CE" w:rsidRPr="00656AD3" w:rsidRDefault="007B16CE" w:rsidP="0073669D">
      <w:pPr>
        <w:ind w:left="851" w:hanging="851"/>
        <w:jc w:val="left"/>
        <w:rPr>
          <w:sz w:val="24"/>
          <w:szCs w:val="24"/>
        </w:rPr>
      </w:pPr>
    </w:p>
    <w:p w14:paraId="0DDF2576" w14:textId="77777777" w:rsidR="007B16CE" w:rsidRPr="00656AD3" w:rsidRDefault="007B16CE" w:rsidP="0073669D">
      <w:pPr>
        <w:ind w:left="851" w:hanging="851"/>
        <w:jc w:val="left"/>
        <w:rPr>
          <w:sz w:val="24"/>
          <w:szCs w:val="24"/>
        </w:rPr>
      </w:pPr>
      <w:r w:rsidRPr="00656AD3">
        <w:rPr>
          <w:sz w:val="24"/>
          <w:szCs w:val="24"/>
        </w:rPr>
        <w:t>(f)</w:t>
      </w:r>
      <w:r w:rsidRPr="00656AD3">
        <w:rPr>
          <w:sz w:val="24"/>
          <w:szCs w:val="24"/>
        </w:rPr>
        <w:tab/>
        <w:t xml:space="preserve">Budget/Resources – </w:t>
      </w:r>
      <w:r w:rsidR="007F7374" w:rsidRPr="00656AD3">
        <w:rPr>
          <w:sz w:val="24"/>
          <w:szCs w:val="24"/>
        </w:rPr>
        <w:t>Contained within the body of this report</w:t>
      </w:r>
    </w:p>
    <w:p w14:paraId="44ACE806" w14:textId="77777777" w:rsidR="007B16CE" w:rsidRPr="00656AD3" w:rsidRDefault="007B16CE" w:rsidP="0073669D">
      <w:pPr>
        <w:ind w:hanging="851"/>
        <w:jc w:val="left"/>
        <w:rPr>
          <w:sz w:val="24"/>
          <w:szCs w:val="24"/>
        </w:rPr>
      </w:pPr>
    </w:p>
    <w:p w14:paraId="384E1073" w14:textId="77777777" w:rsidR="00291014" w:rsidRPr="00656AD3" w:rsidRDefault="00291014" w:rsidP="0073669D">
      <w:pPr>
        <w:ind w:hanging="851"/>
        <w:jc w:val="left"/>
        <w:rPr>
          <w:sz w:val="24"/>
          <w:szCs w:val="24"/>
        </w:rPr>
      </w:pPr>
    </w:p>
    <w:p w14:paraId="31AFA291" w14:textId="625D7C9E" w:rsidR="00295776" w:rsidRPr="007F1CE5" w:rsidRDefault="007F7374" w:rsidP="007F1CE5">
      <w:pPr>
        <w:jc w:val="left"/>
        <w:rPr>
          <w:b/>
          <w:sz w:val="24"/>
          <w:szCs w:val="24"/>
        </w:rPr>
      </w:pPr>
      <w:r w:rsidRPr="00656AD3">
        <w:rPr>
          <w:b/>
          <w:sz w:val="24"/>
          <w:szCs w:val="24"/>
        </w:rPr>
        <w:t>8</w:t>
      </w:r>
      <w:r w:rsidR="000F67FD" w:rsidRPr="00656AD3">
        <w:rPr>
          <w:b/>
          <w:sz w:val="24"/>
          <w:szCs w:val="24"/>
        </w:rPr>
        <w:t>.</w:t>
      </w:r>
      <w:r w:rsidR="000F67FD" w:rsidRPr="00656AD3">
        <w:rPr>
          <w:b/>
          <w:sz w:val="24"/>
          <w:szCs w:val="24"/>
        </w:rPr>
        <w:tab/>
        <w:t>COMMENTS OF STATUTORY OFFICERS</w:t>
      </w:r>
    </w:p>
    <w:p w14:paraId="39FC5590" w14:textId="77777777" w:rsidR="00295776" w:rsidRPr="00656AD3" w:rsidRDefault="00295776" w:rsidP="00331871">
      <w:pPr>
        <w:tabs>
          <w:tab w:val="left" w:pos="1701"/>
        </w:tabs>
        <w:ind w:left="720" w:hanging="720"/>
        <w:jc w:val="left"/>
        <w:rPr>
          <w:sz w:val="24"/>
          <w:szCs w:val="24"/>
        </w:rPr>
      </w:pPr>
    </w:p>
    <w:p w14:paraId="206B5AB1" w14:textId="77777777" w:rsidR="005F7CC3" w:rsidRPr="00656AD3" w:rsidRDefault="001B1635" w:rsidP="005F7CC3">
      <w:pPr>
        <w:tabs>
          <w:tab w:val="left" w:pos="1701"/>
        </w:tabs>
        <w:ind w:left="720" w:hanging="720"/>
        <w:jc w:val="left"/>
        <w:rPr>
          <w:sz w:val="24"/>
          <w:szCs w:val="24"/>
        </w:rPr>
      </w:pPr>
      <w:r w:rsidRPr="00656AD3">
        <w:rPr>
          <w:sz w:val="24"/>
          <w:szCs w:val="24"/>
        </w:rPr>
        <w:t>(a)</w:t>
      </w:r>
      <w:r w:rsidRPr="00656AD3">
        <w:rPr>
          <w:sz w:val="24"/>
          <w:szCs w:val="24"/>
        </w:rPr>
        <w:tab/>
        <w:t xml:space="preserve">Head of Paid Service – </w:t>
      </w:r>
      <w:r w:rsidR="005F7CC3" w:rsidRPr="00656AD3">
        <w:rPr>
          <w:sz w:val="24"/>
          <w:szCs w:val="24"/>
        </w:rPr>
        <w:t xml:space="preserve">The report describes the many influences upon the setting of the Council’s budget together with the proposals as to how those challenges can be </w:t>
      </w:r>
      <w:r w:rsidR="005F7CC3" w:rsidRPr="00656AD3">
        <w:rPr>
          <w:sz w:val="24"/>
          <w:szCs w:val="24"/>
        </w:rPr>
        <w:lastRenderedPageBreak/>
        <w:t>met.  It is important that the proposals are given thorough consideration by the Overview and Scrutiny Committee to ensure that a balanced budget, which also protects services as far as possible, can be recommended to Council.</w:t>
      </w:r>
    </w:p>
    <w:p w14:paraId="518308EC" w14:textId="77777777" w:rsidR="00FF0214" w:rsidRPr="00656AD3" w:rsidRDefault="00FF0214" w:rsidP="00331871">
      <w:pPr>
        <w:tabs>
          <w:tab w:val="left" w:pos="1701"/>
        </w:tabs>
        <w:ind w:left="720" w:hanging="720"/>
        <w:jc w:val="left"/>
        <w:rPr>
          <w:sz w:val="24"/>
          <w:szCs w:val="24"/>
        </w:rPr>
      </w:pPr>
    </w:p>
    <w:p w14:paraId="2AFA30A9" w14:textId="2DFB93BB" w:rsidR="005F7CC3" w:rsidRPr="00656AD3" w:rsidRDefault="001B1635" w:rsidP="005F7CC3">
      <w:pPr>
        <w:tabs>
          <w:tab w:val="left" w:pos="1701"/>
        </w:tabs>
        <w:ind w:left="709" w:hanging="709"/>
        <w:jc w:val="left"/>
        <w:rPr>
          <w:rFonts w:cs="Arial"/>
          <w:sz w:val="24"/>
          <w:szCs w:val="24"/>
        </w:rPr>
      </w:pPr>
      <w:r w:rsidRPr="00656AD3">
        <w:rPr>
          <w:sz w:val="24"/>
          <w:szCs w:val="24"/>
        </w:rPr>
        <w:t>(b)</w:t>
      </w:r>
      <w:r w:rsidRPr="00656AD3">
        <w:rPr>
          <w:sz w:val="24"/>
          <w:szCs w:val="24"/>
        </w:rPr>
        <w:tab/>
        <w:t xml:space="preserve">Monitoring Officer – </w:t>
      </w:r>
      <w:r w:rsidR="005F7CC3" w:rsidRPr="00656AD3">
        <w:rPr>
          <w:rFonts w:cs="Arial"/>
          <w:sz w:val="24"/>
          <w:szCs w:val="24"/>
        </w:rPr>
        <w:t xml:space="preserve">It is the responsibility of the </w:t>
      </w:r>
      <w:r w:rsidR="00D436C8">
        <w:rPr>
          <w:rFonts w:cs="Arial"/>
          <w:sz w:val="24"/>
          <w:szCs w:val="24"/>
        </w:rPr>
        <w:t>E</w:t>
      </w:r>
      <w:r w:rsidR="00276E31">
        <w:rPr>
          <w:rFonts w:cs="Arial"/>
          <w:sz w:val="24"/>
          <w:szCs w:val="24"/>
        </w:rPr>
        <w:t>lected</w:t>
      </w:r>
      <w:r w:rsidR="00D436C8" w:rsidRPr="00656AD3">
        <w:rPr>
          <w:rFonts w:cs="Arial"/>
          <w:sz w:val="24"/>
          <w:szCs w:val="24"/>
        </w:rPr>
        <w:t xml:space="preserve"> </w:t>
      </w:r>
      <w:r w:rsidR="005F7CC3" w:rsidRPr="00656AD3">
        <w:rPr>
          <w:rFonts w:cs="Arial"/>
          <w:sz w:val="24"/>
          <w:szCs w:val="24"/>
        </w:rPr>
        <w:t xml:space="preserve">Mayor and the Executive to prepare and recommend annual budgets to the Council.  The </w:t>
      </w:r>
      <w:r w:rsidR="00D436C8">
        <w:rPr>
          <w:rFonts w:cs="Arial"/>
          <w:sz w:val="24"/>
          <w:szCs w:val="24"/>
        </w:rPr>
        <w:t>Portfolio Holder for Corporate and Finance</w:t>
      </w:r>
      <w:r w:rsidR="005F7CC3" w:rsidRPr="00656AD3">
        <w:rPr>
          <w:rFonts w:cs="Arial"/>
          <w:sz w:val="24"/>
          <w:szCs w:val="24"/>
        </w:rPr>
        <w:t xml:space="preserve"> is authorised to consult with relevant Overview and Scrutiny Committee members on such issues. The Council’s Constitution contains Budget and Policy Framework Procedure Rules which must be followed when the Council sets its budget.</w:t>
      </w:r>
    </w:p>
    <w:p w14:paraId="5B297E96" w14:textId="77777777" w:rsidR="005F7CC3" w:rsidRPr="00656AD3" w:rsidRDefault="005F7CC3" w:rsidP="005F7CC3">
      <w:pPr>
        <w:tabs>
          <w:tab w:val="left" w:pos="1701"/>
        </w:tabs>
        <w:ind w:left="720" w:hanging="720"/>
        <w:jc w:val="left"/>
        <w:rPr>
          <w:rFonts w:cs="Arial"/>
          <w:sz w:val="24"/>
          <w:szCs w:val="24"/>
        </w:rPr>
      </w:pPr>
    </w:p>
    <w:p w14:paraId="61EA2D5C" w14:textId="3AD7667E" w:rsidR="005F7CC3" w:rsidRPr="003B0E66" w:rsidRDefault="005F7CC3" w:rsidP="00375E87">
      <w:pPr>
        <w:tabs>
          <w:tab w:val="left" w:pos="1701"/>
        </w:tabs>
        <w:ind w:left="709"/>
        <w:rPr>
          <w:rFonts w:cs="Arial"/>
          <w:sz w:val="24"/>
          <w:szCs w:val="24"/>
        </w:rPr>
      </w:pPr>
      <w:r w:rsidRPr="003B0E66">
        <w:rPr>
          <w:rFonts w:cs="Arial"/>
          <w:sz w:val="24"/>
          <w:szCs w:val="24"/>
        </w:rPr>
        <w:t xml:space="preserve">When setting the budget the Council must be mindful of the potential impact on service users. Any consultation exercises which have been undertaken in the preparation of the </w:t>
      </w:r>
      <w:r w:rsidR="00276E31">
        <w:rPr>
          <w:rFonts w:cs="Arial"/>
          <w:sz w:val="24"/>
          <w:szCs w:val="24"/>
        </w:rPr>
        <w:t>2021</w:t>
      </w:r>
      <w:r w:rsidR="00375E87">
        <w:rPr>
          <w:rFonts w:cs="Arial"/>
          <w:sz w:val="24"/>
          <w:szCs w:val="24"/>
        </w:rPr>
        <w:t>/2</w:t>
      </w:r>
      <w:r w:rsidR="00276E31">
        <w:rPr>
          <w:rFonts w:cs="Arial"/>
          <w:sz w:val="24"/>
          <w:szCs w:val="24"/>
        </w:rPr>
        <w:t>2</w:t>
      </w:r>
      <w:r w:rsidRPr="003B0E66">
        <w:rPr>
          <w:rFonts w:cs="Arial"/>
          <w:sz w:val="24"/>
          <w:szCs w:val="24"/>
        </w:rPr>
        <w:t xml:space="preserve"> budget are relevant in this respect.</w:t>
      </w:r>
    </w:p>
    <w:p w14:paraId="6FDB1FB3" w14:textId="77777777" w:rsidR="005F7CC3" w:rsidRPr="00656AD3" w:rsidRDefault="005F7CC3" w:rsidP="00375E87">
      <w:pPr>
        <w:jc w:val="left"/>
      </w:pPr>
    </w:p>
    <w:p w14:paraId="445C0AD7" w14:textId="77777777" w:rsidR="005F7CC3" w:rsidRPr="00375E87" w:rsidRDefault="005F7CC3" w:rsidP="00375E87">
      <w:pPr>
        <w:ind w:left="709"/>
        <w:jc w:val="left"/>
        <w:rPr>
          <w:sz w:val="24"/>
          <w:szCs w:val="24"/>
        </w:rPr>
      </w:pPr>
      <w:r w:rsidRPr="00375E87">
        <w:rPr>
          <w:sz w:val="24"/>
          <w:szCs w:val="24"/>
        </w:rPr>
        <w:t>Section 149 of the Equality Act 2010 imposes an obligation on Members to have due regard to protecting and promoting the welfare and interests of persons who share a relevant protected characteristic (age; disability; gender re-assignment; marriage and civil partnership; pregnancy and maternity; race; religious or belief; sex and sexual orientation).</w:t>
      </w:r>
    </w:p>
    <w:p w14:paraId="1A18BAD7" w14:textId="77777777" w:rsidR="00990FB6" w:rsidRPr="00656AD3" w:rsidRDefault="00990FB6" w:rsidP="00375E87">
      <w:pPr>
        <w:pStyle w:val="ListParagraph"/>
        <w:spacing w:after="0"/>
        <w:rPr>
          <w:rFonts w:ascii="Arial" w:hAnsi="Arial" w:cs="Arial"/>
          <w:sz w:val="24"/>
          <w:szCs w:val="24"/>
        </w:rPr>
      </w:pPr>
    </w:p>
    <w:p w14:paraId="41C490B0" w14:textId="77777777" w:rsidR="00E30C92" w:rsidRPr="00656AD3" w:rsidRDefault="005F7CC3" w:rsidP="005F7CC3">
      <w:pPr>
        <w:tabs>
          <w:tab w:val="left" w:pos="1701"/>
        </w:tabs>
        <w:ind w:left="709"/>
        <w:jc w:val="left"/>
        <w:rPr>
          <w:rFonts w:cs="Arial"/>
          <w:sz w:val="24"/>
          <w:szCs w:val="24"/>
        </w:rPr>
      </w:pPr>
      <w:r w:rsidRPr="00656AD3">
        <w:rPr>
          <w:rFonts w:cs="Arial"/>
          <w:sz w:val="24"/>
          <w:szCs w:val="24"/>
        </w:rPr>
        <w:t>Case law has clarified that there is no obligation on a local authority to carry out equality impact analysis of the high level strategic budget setting process. Once the budget has been set and as spending decisions are made service by service, and as policies are developed within the constraints of the budgetary framework, proposals will be further considered by Members and will be subject to an appropriate and proportionate assessment of any equality implications as well as consultation, where appropriate.</w:t>
      </w:r>
    </w:p>
    <w:p w14:paraId="2CEF8DD3" w14:textId="77777777" w:rsidR="005F7CC3" w:rsidRPr="00656AD3" w:rsidRDefault="005F7CC3" w:rsidP="005F7CC3">
      <w:pPr>
        <w:tabs>
          <w:tab w:val="left" w:pos="1701"/>
        </w:tabs>
        <w:ind w:left="709" w:hanging="709"/>
        <w:jc w:val="left"/>
        <w:rPr>
          <w:sz w:val="24"/>
          <w:szCs w:val="24"/>
        </w:rPr>
      </w:pPr>
    </w:p>
    <w:p w14:paraId="7D20A1FA" w14:textId="17D4E76D" w:rsidR="000F67FD" w:rsidRPr="00656AD3" w:rsidRDefault="000F67FD" w:rsidP="0073669D">
      <w:pPr>
        <w:ind w:left="720" w:hanging="720"/>
        <w:jc w:val="left"/>
        <w:rPr>
          <w:sz w:val="24"/>
          <w:szCs w:val="24"/>
        </w:rPr>
      </w:pPr>
      <w:r w:rsidRPr="00656AD3">
        <w:rPr>
          <w:sz w:val="24"/>
          <w:szCs w:val="24"/>
        </w:rPr>
        <w:t>(c)</w:t>
      </w:r>
      <w:r w:rsidR="00735602" w:rsidRPr="00656AD3">
        <w:rPr>
          <w:sz w:val="24"/>
          <w:szCs w:val="24"/>
        </w:rPr>
        <w:tab/>
      </w:r>
      <w:r w:rsidR="00A93319" w:rsidRPr="00656AD3">
        <w:rPr>
          <w:sz w:val="24"/>
          <w:szCs w:val="24"/>
        </w:rPr>
        <w:t>Section 151 Officer</w:t>
      </w:r>
      <w:r w:rsidR="001B1635" w:rsidRPr="00656AD3">
        <w:rPr>
          <w:sz w:val="24"/>
          <w:szCs w:val="24"/>
        </w:rPr>
        <w:t xml:space="preserve"> </w:t>
      </w:r>
      <w:r w:rsidR="001D07EA" w:rsidRPr="00656AD3">
        <w:rPr>
          <w:sz w:val="24"/>
          <w:szCs w:val="24"/>
        </w:rPr>
        <w:t>–</w:t>
      </w:r>
      <w:r w:rsidR="001B1635" w:rsidRPr="00656AD3">
        <w:rPr>
          <w:sz w:val="24"/>
          <w:szCs w:val="24"/>
        </w:rPr>
        <w:t xml:space="preserve"> </w:t>
      </w:r>
      <w:r w:rsidR="00FD3010" w:rsidRPr="00656AD3">
        <w:rPr>
          <w:sz w:val="24"/>
          <w:szCs w:val="24"/>
        </w:rPr>
        <w:t xml:space="preserve">This report sets out the projected budget </w:t>
      </w:r>
      <w:r w:rsidR="00253C67">
        <w:rPr>
          <w:sz w:val="24"/>
          <w:szCs w:val="24"/>
        </w:rPr>
        <w:t>position</w:t>
      </w:r>
      <w:r w:rsidR="00FD3010" w:rsidRPr="00656AD3">
        <w:rPr>
          <w:sz w:val="24"/>
          <w:szCs w:val="24"/>
        </w:rPr>
        <w:t xml:space="preserve"> for </w:t>
      </w:r>
      <w:r w:rsidR="003B0E66">
        <w:rPr>
          <w:sz w:val="24"/>
          <w:szCs w:val="24"/>
        </w:rPr>
        <w:t>202</w:t>
      </w:r>
      <w:r w:rsidR="00276E31">
        <w:rPr>
          <w:sz w:val="24"/>
          <w:szCs w:val="24"/>
        </w:rPr>
        <w:t>1</w:t>
      </w:r>
      <w:r w:rsidR="003B0E66">
        <w:rPr>
          <w:sz w:val="24"/>
          <w:szCs w:val="24"/>
        </w:rPr>
        <w:t>/2</w:t>
      </w:r>
      <w:r w:rsidR="00276E31">
        <w:rPr>
          <w:sz w:val="24"/>
          <w:szCs w:val="24"/>
        </w:rPr>
        <w:t>2</w:t>
      </w:r>
      <w:r w:rsidR="0029093D">
        <w:rPr>
          <w:sz w:val="24"/>
          <w:szCs w:val="24"/>
        </w:rPr>
        <w:t xml:space="preserve"> to 202</w:t>
      </w:r>
      <w:r w:rsidR="00276E31">
        <w:rPr>
          <w:sz w:val="24"/>
          <w:szCs w:val="24"/>
        </w:rPr>
        <w:t>3</w:t>
      </w:r>
      <w:r w:rsidR="0029093D">
        <w:rPr>
          <w:sz w:val="24"/>
          <w:szCs w:val="24"/>
        </w:rPr>
        <w:t>/2</w:t>
      </w:r>
      <w:r w:rsidR="00276E31">
        <w:rPr>
          <w:sz w:val="24"/>
          <w:szCs w:val="24"/>
        </w:rPr>
        <w:t>4</w:t>
      </w:r>
      <w:r w:rsidR="00FD3010" w:rsidRPr="00656AD3">
        <w:rPr>
          <w:sz w:val="24"/>
          <w:szCs w:val="24"/>
        </w:rPr>
        <w:t xml:space="preserve">.  There will be an on-going </w:t>
      </w:r>
      <w:r w:rsidR="000412F1" w:rsidRPr="00656AD3">
        <w:rPr>
          <w:sz w:val="24"/>
          <w:szCs w:val="24"/>
        </w:rPr>
        <w:t xml:space="preserve">deficit </w:t>
      </w:r>
      <w:r w:rsidR="00FD3010" w:rsidRPr="00656AD3">
        <w:rPr>
          <w:sz w:val="24"/>
          <w:szCs w:val="24"/>
        </w:rPr>
        <w:t>in future years as public sector funding becomes tighter.  The Council needs to be prepared to make decisions regarding the services provided, the level at which they are provided and the way in which they are provided if it is to maintain balanced and sustainable budgets for the future and ensure that priorities are delivered.</w:t>
      </w:r>
    </w:p>
    <w:p w14:paraId="67F2FB37" w14:textId="77777777" w:rsidR="001D07EA" w:rsidRPr="00656AD3" w:rsidRDefault="001D07EA" w:rsidP="0073669D">
      <w:pPr>
        <w:ind w:left="720" w:hanging="720"/>
        <w:jc w:val="left"/>
        <w:rPr>
          <w:sz w:val="24"/>
          <w:szCs w:val="24"/>
        </w:rPr>
      </w:pPr>
    </w:p>
    <w:p w14:paraId="6F9C4F82" w14:textId="77777777" w:rsidR="001D07EA" w:rsidRPr="00656AD3" w:rsidRDefault="001D07EA" w:rsidP="0073669D">
      <w:pPr>
        <w:ind w:left="720"/>
        <w:jc w:val="left"/>
        <w:rPr>
          <w:sz w:val="24"/>
          <w:szCs w:val="24"/>
        </w:rPr>
      </w:pPr>
      <w:r w:rsidRPr="00656AD3">
        <w:rPr>
          <w:sz w:val="24"/>
          <w:szCs w:val="24"/>
        </w:rPr>
        <w:lastRenderedPageBreak/>
        <w:t xml:space="preserve">Robustness of budgets – As S151 Officer, I have a duty to comment on the robustness of the budgets proposed. </w:t>
      </w:r>
      <w:r w:rsidR="00E20C17" w:rsidRPr="00656AD3">
        <w:rPr>
          <w:sz w:val="24"/>
          <w:szCs w:val="24"/>
        </w:rPr>
        <w:t xml:space="preserve">  At this stage further work is necessary to</w:t>
      </w:r>
      <w:r w:rsidR="00F5191E" w:rsidRPr="00656AD3">
        <w:rPr>
          <w:sz w:val="24"/>
          <w:szCs w:val="24"/>
        </w:rPr>
        <w:t xml:space="preserve"> </w:t>
      </w:r>
      <w:r w:rsidR="00E20C17" w:rsidRPr="00656AD3">
        <w:rPr>
          <w:sz w:val="24"/>
          <w:szCs w:val="24"/>
        </w:rPr>
        <w:t>provide</w:t>
      </w:r>
      <w:r w:rsidR="00F5191E" w:rsidRPr="00656AD3">
        <w:rPr>
          <w:sz w:val="24"/>
          <w:szCs w:val="24"/>
        </w:rPr>
        <w:t xml:space="preserve"> the balanced budget required.  A range of areas have been identified which will need to be quantified.  T</w:t>
      </w:r>
      <w:r w:rsidRPr="00656AD3">
        <w:rPr>
          <w:sz w:val="24"/>
          <w:szCs w:val="24"/>
        </w:rPr>
        <w:t xml:space="preserve">he mechanisms are in place to ensure this. </w:t>
      </w:r>
    </w:p>
    <w:p w14:paraId="5AA328F5" w14:textId="77777777" w:rsidR="001D07EA" w:rsidRPr="00656AD3" w:rsidRDefault="001D07EA" w:rsidP="0073669D">
      <w:pPr>
        <w:ind w:left="720" w:hanging="720"/>
        <w:jc w:val="left"/>
        <w:rPr>
          <w:sz w:val="24"/>
          <w:szCs w:val="24"/>
        </w:rPr>
      </w:pPr>
    </w:p>
    <w:p w14:paraId="40672D39" w14:textId="77777777" w:rsidR="001D07EA" w:rsidRPr="00656AD3" w:rsidRDefault="001D07EA" w:rsidP="0073669D">
      <w:pPr>
        <w:ind w:left="720"/>
        <w:jc w:val="left"/>
        <w:rPr>
          <w:sz w:val="24"/>
          <w:szCs w:val="24"/>
        </w:rPr>
      </w:pPr>
      <w:r w:rsidRPr="00656AD3">
        <w:rPr>
          <w:sz w:val="24"/>
          <w:szCs w:val="24"/>
        </w:rPr>
        <w:t>The process carried out and the assumptions made in developing the budgets are robust with the necessary level of quality checking in place to minimise the risk of error or omission.</w:t>
      </w:r>
    </w:p>
    <w:p w14:paraId="513EC4F7" w14:textId="77777777" w:rsidR="00E74DFE" w:rsidRPr="00656AD3" w:rsidRDefault="00E74DFE" w:rsidP="0073669D">
      <w:pPr>
        <w:ind w:left="720"/>
        <w:jc w:val="left"/>
        <w:rPr>
          <w:sz w:val="24"/>
          <w:szCs w:val="24"/>
        </w:rPr>
      </w:pPr>
    </w:p>
    <w:p w14:paraId="701708BA" w14:textId="6DC6CD52" w:rsidR="001D07EA" w:rsidRPr="00656AD3" w:rsidRDefault="001D07EA" w:rsidP="0073669D">
      <w:pPr>
        <w:ind w:left="720"/>
        <w:jc w:val="left"/>
        <w:rPr>
          <w:sz w:val="24"/>
          <w:szCs w:val="24"/>
        </w:rPr>
      </w:pPr>
      <w:r w:rsidRPr="00656AD3">
        <w:rPr>
          <w:sz w:val="24"/>
          <w:szCs w:val="24"/>
        </w:rPr>
        <w:t>Adequacy of reserves – I am also required to comment on the level of reserves</w:t>
      </w:r>
      <w:r w:rsidR="00A03CB1" w:rsidRPr="00656AD3">
        <w:rPr>
          <w:sz w:val="24"/>
          <w:szCs w:val="24"/>
        </w:rPr>
        <w:t xml:space="preserve">.  </w:t>
      </w:r>
      <w:r w:rsidRPr="00656AD3">
        <w:rPr>
          <w:sz w:val="24"/>
          <w:szCs w:val="24"/>
        </w:rPr>
        <w:t>I am satisfied that the level of reserves is adequate to meet contingencies and that the proposed budgets do nothing to reduce these below the minimum level assessed as being necessary.</w:t>
      </w:r>
      <w:r w:rsidR="00F5191E" w:rsidRPr="00656AD3">
        <w:rPr>
          <w:sz w:val="24"/>
          <w:szCs w:val="24"/>
        </w:rPr>
        <w:t xml:space="preserve">  The ultimate level will also be determined by the ability to identify the savings from the areas set out as part of the Transformation </w:t>
      </w:r>
      <w:r w:rsidR="00276E31">
        <w:rPr>
          <w:sz w:val="24"/>
          <w:szCs w:val="24"/>
        </w:rPr>
        <w:t>Strategy</w:t>
      </w:r>
      <w:r w:rsidR="00F5191E" w:rsidRPr="00656AD3">
        <w:rPr>
          <w:sz w:val="24"/>
          <w:szCs w:val="24"/>
        </w:rPr>
        <w:t xml:space="preserve"> and the level of risk associated with the delivery of these.</w:t>
      </w:r>
    </w:p>
    <w:p w14:paraId="3EB6AEF9" w14:textId="77777777" w:rsidR="007C3315" w:rsidRPr="00656AD3" w:rsidRDefault="007C3315" w:rsidP="0073669D">
      <w:pPr>
        <w:ind w:left="720"/>
        <w:jc w:val="left"/>
        <w:rPr>
          <w:sz w:val="24"/>
          <w:szCs w:val="24"/>
        </w:rPr>
      </w:pPr>
    </w:p>
    <w:p w14:paraId="0163536A" w14:textId="77777777" w:rsidR="007C3315" w:rsidRPr="00656AD3" w:rsidRDefault="007C3315" w:rsidP="0073669D">
      <w:pPr>
        <w:ind w:left="720"/>
        <w:jc w:val="left"/>
        <w:rPr>
          <w:rFonts w:cs="Arial"/>
          <w:bCs/>
          <w:sz w:val="24"/>
          <w:szCs w:val="24"/>
        </w:rPr>
      </w:pPr>
      <w:r w:rsidRPr="00656AD3">
        <w:rPr>
          <w:rFonts w:cs="Arial"/>
          <w:bCs/>
          <w:sz w:val="24"/>
          <w:szCs w:val="24"/>
        </w:rPr>
        <w:t>The Local Government Finance Act 1992, sections 42, 43 and 93 places a statutory duty on local authorities to set a balanced budget, having made regard for the expenditure it estimates it will incur during the year in performing its functions, and the income it expects to receive through fees and charges, (general and specific) grants and the Council Tax it collects from its residents.</w:t>
      </w:r>
    </w:p>
    <w:p w14:paraId="5A83AB86" w14:textId="77777777" w:rsidR="007C3315" w:rsidRPr="00656AD3" w:rsidRDefault="007C3315" w:rsidP="0073669D">
      <w:pPr>
        <w:ind w:left="720"/>
        <w:jc w:val="left"/>
        <w:rPr>
          <w:sz w:val="24"/>
          <w:szCs w:val="24"/>
        </w:rPr>
      </w:pPr>
    </w:p>
    <w:p w14:paraId="08581F5B" w14:textId="77777777" w:rsidR="00CF6BCA" w:rsidRPr="00656AD3" w:rsidRDefault="00CF6BCA" w:rsidP="0073669D">
      <w:pPr>
        <w:ind w:left="720"/>
        <w:jc w:val="left"/>
        <w:rPr>
          <w:rFonts w:cs="Arial"/>
          <w:color w:val="000000"/>
          <w:sz w:val="24"/>
          <w:szCs w:val="24"/>
        </w:rPr>
      </w:pPr>
      <w:r w:rsidRPr="00656AD3">
        <w:rPr>
          <w:rFonts w:cs="Arial"/>
          <w:sz w:val="24"/>
          <w:szCs w:val="24"/>
        </w:rPr>
        <w:t xml:space="preserve">Whilst it is the responsibility of the Executive to prepare the budget and recommend the Council Tax levels for a specific year for consideration by the Authority, under the </w:t>
      </w:r>
      <w:r w:rsidRPr="00656AD3">
        <w:rPr>
          <w:rFonts w:cs="Arial"/>
          <w:color w:val="000000"/>
          <w:sz w:val="24"/>
          <w:szCs w:val="24"/>
        </w:rPr>
        <w:t xml:space="preserve">Local Authorities (Functions and Responsibilities) (England) Regulations 2000, </w:t>
      </w:r>
      <w:r w:rsidRPr="00656AD3">
        <w:rPr>
          <w:rFonts w:cs="Arial"/>
          <w:sz w:val="24"/>
          <w:szCs w:val="24"/>
        </w:rPr>
        <w:t xml:space="preserve">paragraphs 9 to 11 of Regulation 4 </w:t>
      </w:r>
      <w:r w:rsidRPr="00656AD3">
        <w:rPr>
          <w:rFonts w:cs="Arial"/>
          <w:color w:val="000000"/>
          <w:sz w:val="24"/>
          <w:szCs w:val="24"/>
        </w:rPr>
        <w:t xml:space="preserve">(Functions not to be the sole responsibility of </w:t>
      </w:r>
      <w:r w:rsidR="007C3315" w:rsidRPr="00656AD3">
        <w:rPr>
          <w:rFonts w:cs="Arial"/>
          <w:color w:val="000000"/>
          <w:sz w:val="24"/>
          <w:szCs w:val="24"/>
        </w:rPr>
        <w:t>an Authority’s</w:t>
      </w:r>
      <w:r w:rsidRPr="00656AD3">
        <w:rPr>
          <w:rFonts w:cs="Arial"/>
          <w:color w:val="000000"/>
          <w:sz w:val="24"/>
          <w:szCs w:val="24"/>
        </w:rPr>
        <w:t xml:space="preserve"> Executive), it is the responsibility of the Authority to approve the Council’s Budgetary Requirement and set Council Tax levels, as set out in the Local Government Finance Act 1992.</w:t>
      </w:r>
    </w:p>
    <w:p w14:paraId="37B7A5AC" w14:textId="77777777" w:rsidR="00F5191E" w:rsidRPr="00656AD3" w:rsidRDefault="00F5191E" w:rsidP="0073669D">
      <w:pPr>
        <w:ind w:left="720"/>
        <w:jc w:val="left"/>
        <w:rPr>
          <w:rFonts w:cs="Arial"/>
          <w:color w:val="000000"/>
          <w:sz w:val="24"/>
          <w:szCs w:val="24"/>
        </w:rPr>
      </w:pPr>
    </w:p>
    <w:p w14:paraId="1B5B997E" w14:textId="1B434567" w:rsidR="00F5191E" w:rsidRPr="00656AD3" w:rsidRDefault="00F5191E" w:rsidP="00106DCF">
      <w:pPr>
        <w:ind w:left="720"/>
        <w:jc w:val="left"/>
        <w:rPr>
          <w:rFonts w:cs="Arial"/>
          <w:color w:val="000000"/>
          <w:sz w:val="24"/>
          <w:szCs w:val="24"/>
        </w:rPr>
      </w:pPr>
      <w:r w:rsidRPr="00656AD3">
        <w:rPr>
          <w:rFonts w:cs="Arial"/>
          <w:color w:val="000000"/>
          <w:sz w:val="24"/>
          <w:szCs w:val="24"/>
        </w:rPr>
        <w:t xml:space="preserve">In determining the level of Council Tax, fees and charges and approval of savings put forward, the Council must consider the sustainability of the </w:t>
      </w:r>
      <w:r w:rsidR="00D56060" w:rsidRPr="00656AD3">
        <w:rPr>
          <w:rFonts w:cs="Arial"/>
          <w:color w:val="000000"/>
          <w:sz w:val="24"/>
          <w:szCs w:val="24"/>
        </w:rPr>
        <w:t>Council‘s</w:t>
      </w:r>
      <w:r w:rsidRPr="00656AD3">
        <w:rPr>
          <w:rFonts w:cs="Arial"/>
          <w:color w:val="000000"/>
          <w:sz w:val="24"/>
          <w:szCs w:val="24"/>
        </w:rPr>
        <w:t xml:space="preserve"> financial position and the projections outlined </w:t>
      </w:r>
      <w:r w:rsidR="003B0E66">
        <w:rPr>
          <w:rFonts w:cs="Arial"/>
          <w:color w:val="000000"/>
          <w:sz w:val="24"/>
          <w:szCs w:val="24"/>
        </w:rPr>
        <w:t>with</w:t>
      </w:r>
      <w:r w:rsidRPr="00656AD3">
        <w:rPr>
          <w:rFonts w:cs="Arial"/>
          <w:color w:val="000000"/>
          <w:sz w:val="24"/>
          <w:szCs w:val="24"/>
        </w:rPr>
        <w:t xml:space="preserve">in </w:t>
      </w:r>
      <w:r w:rsidR="003B0E66">
        <w:rPr>
          <w:rFonts w:cs="Arial"/>
          <w:color w:val="000000"/>
          <w:sz w:val="24"/>
          <w:szCs w:val="24"/>
        </w:rPr>
        <w:t>this Medium Term Financial Strategy</w:t>
      </w:r>
    </w:p>
    <w:p w14:paraId="241C40BB" w14:textId="77777777" w:rsidR="00595F58" w:rsidRPr="00656AD3" w:rsidRDefault="00595F58" w:rsidP="00106DCF">
      <w:pPr>
        <w:ind w:left="720" w:hanging="720"/>
        <w:jc w:val="left"/>
        <w:rPr>
          <w:rFonts w:cs="Arial"/>
          <w:sz w:val="24"/>
          <w:szCs w:val="24"/>
        </w:rPr>
      </w:pPr>
    </w:p>
    <w:p w14:paraId="6AEC041F" w14:textId="77777777" w:rsidR="00FF0214" w:rsidRPr="00656AD3" w:rsidRDefault="00FF0214" w:rsidP="00611F1A">
      <w:pPr>
        <w:ind w:left="720" w:hanging="720"/>
        <w:jc w:val="left"/>
        <w:outlineLvl w:val="0"/>
        <w:rPr>
          <w:b/>
          <w:sz w:val="24"/>
          <w:szCs w:val="24"/>
        </w:rPr>
      </w:pPr>
    </w:p>
    <w:p w14:paraId="7B671052" w14:textId="77777777" w:rsidR="00BE210E" w:rsidRPr="00656AD3" w:rsidRDefault="007F7374" w:rsidP="00106DCF">
      <w:pPr>
        <w:ind w:left="720" w:hanging="720"/>
        <w:jc w:val="left"/>
        <w:rPr>
          <w:b/>
          <w:sz w:val="24"/>
          <w:szCs w:val="24"/>
        </w:rPr>
      </w:pPr>
      <w:r w:rsidRPr="00656AD3">
        <w:rPr>
          <w:b/>
          <w:sz w:val="24"/>
          <w:szCs w:val="24"/>
        </w:rPr>
        <w:t>9</w:t>
      </w:r>
      <w:r w:rsidR="00B920DF" w:rsidRPr="00656AD3">
        <w:rPr>
          <w:b/>
          <w:sz w:val="24"/>
          <w:szCs w:val="24"/>
        </w:rPr>
        <w:t>.</w:t>
      </w:r>
      <w:r w:rsidR="00B920DF" w:rsidRPr="00656AD3">
        <w:rPr>
          <w:b/>
          <w:sz w:val="24"/>
          <w:szCs w:val="24"/>
        </w:rPr>
        <w:tab/>
        <w:t>CO</w:t>
      </w:r>
      <w:r w:rsidR="00BE210E" w:rsidRPr="00656AD3">
        <w:rPr>
          <w:b/>
          <w:sz w:val="24"/>
          <w:szCs w:val="24"/>
        </w:rPr>
        <w:t>NSULTATION</w:t>
      </w:r>
    </w:p>
    <w:p w14:paraId="3BEA0BC1" w14:textId="77777777" w:rsidR="00B72754" w:rsidRPr="00656AD3" w:rsidRDefault="00B72754" w:rsidP="00106DCF">
      <w:pPr>
        <w:ind w:left="720" w:hanging="720"/>
        <w:jc w:val="left"/>
        <w:rPr>
          <w:sz w:val="24"/>
          <w:szCs w:val="24"/>
        </w:rPr>
      </w:pPr>
    </w:p>
    <w:p w14:paraId="1CD1CF98" w14:textId="77777777" w:rsidR="00DA3F6C" w:rsidRPr="00656AD3" w:rsidRDefault="00DA3F6C" w:rsidP="00106DCF">
      <w:pPr>
        <w:ind w:left="720" w:hanging="720"/>
        <w:jc w:val="left"/>
        <w:rPr>
          <w:sz w:val="24"/>
          <w:szCs w:val="24"/>
        </w:rPr>
      </w:pPr>
      <w:r w:rsidRPr="00656AD3">
        <w:rPr>
          <w:sz w:val="24"/>
          <w:szCs w:val="24"/>
        </w:rPr>
        <w:lastRenderedPageBreak/>
        <w:t>9.1</w:t>
      </w:r>
      <w:r w:rsidRPr="00656AD3">
        <w:rPr>
          <w:sz w:val="24"/>
          <w:szCs w:val="24"/>
        </w:rPr>
        <w:tab/>
        <w:t xml:space="preserve">The proposals within this report will be the basis for consultation with Trade Unions and Employees.  Further consultation will take place on specific proposals within the budget.  </w:t>
      </w:r>
    </w:p>
    <w:p w14:paraId="3815C3F3" w14:textId="77777777" w:rsidR="00DA3F6C" w:rsidRPr="00656AD3" w:rsidRDefault="00DA3F6C" w:rsidP="00106DCF">
      <w:pPr>
        <w:ind w:left="720" w:hanging="720"/>
        <w:jc w:val="left"/>
        <w:rPr>
          <w:sz w:val="24"/>
          <w:szCs w:val="24"/>
        </w:rPr>
      </w:pPr>
    </w:p>
    <w:p w14:paraId="360B10ED" w14:textId="77777777" w:rsidR="00DA3F6C" w:rsidRPr="00656AD3" w:rsidRDefault="00DA3F6C" w:rsidP="00106DCF">
      <w:pPr>
        <w:ind w:left="720" w:hanging="720"/>
        <w:jc w:val="left"/>
        <w:rPr>
          <w:sz w:val="24"/>
          <w:szCs w:val="24"/>
        </w:rPr>
      </w:pPr>
      <w:r w:rsidRPr="00656AD3">
        <w:rPr>
          <w:sz w:val="24"/>
          <w:szCs w:val="24"/>
        </w:rPr>
        <w:t>9.2</w:t>
      </w:r>
      <w:r w:rsidRPr="00656AD3">
        <w:rPr>
          <w:sz w:val="24"/>
          <w:szCs w:val="24"/>
        </w:rPr>
        <w:tab/>
        <w:t xml:space="preserve">This report recommends scrutiny by </w:t>
      </w:r>
      <w:r w:rsidR="00455096" w:rsidRPr="00656AD3">
        <w:rPr>
          <w:sz w:val="24"/>
          <w:szCs w:val="24"/>
        </w:rPr>
        <w:t xml:space="preserve">Overview and </w:t>
      </w:r>
      <w:r w:rsidR="009477FF" w:rsidRPr="00656AD3">
        <w:rPr>
          <w:sz w:val="24"/>
          <w:szCs w:val="24"/>
        </w:rPr>
        <w:t>Scrutiny</w:t>
      </w:r>
      <w:r w:rsidR="00455096" w:rsidRPr="00656AD3">
        <w:rPr>
          <w:sz w:val="24"/>
          <w:szCs w:val="24"/>
        </w:rPr>
        <w:t xml:space="preserve"> Committee</w:t>
      </w:r>
      <w:r w:rsidRPr="00656AD3">
        <w:rPr>
          <w:sz w:val="24"/>
          <w:szCs w:val="24"/>
        </w:rPr>
        <w:t xml:space="preserve"> </w:t>
      </w:r>
      <w:r w:rsidR="00595F58" w:rsidRPr="00656AD3">
        <w:rPr>
          <w:sz w:val="24"/>
          <w:szCs w:val="24"/>
        </w:rPr>
        <w:t xml:space="preserve">(Corporate) </w:t>
      </w:r>
      <w:r w:rsidRPr="00656AD3">
        <w:rPr>
          <w:sz w:val="24"/>
          <w:szCs w:val="24"/>
        </w:rPr>
        <w:t>in line with the Council’s consultation.</w:t>
      </w:r>
    </w:p>
    <w:p w14:paraId="61953128" w14:textId="77777777" w:rsidR="00256B13" w:rsidRPr="00656AD3" w:rsidRDefault="00256B13" w:rsidP="00106DCF">
      <w:pPr>
        <w:ind w:left="720" w:hanging="720"/>
        <w:jc w:val="left"/>
        <w:rPr>
          <w:sz w:val="24"/>
          <w:szCs w:val="24"/>
        </w:rPr>
      </w:pPr>
    </w:p>
    <w:p w14:paraId="12C3979D" w14:textId="1289E9A0" w:rsidR="003F0A37" w:rsidRDefault="003F0A37">
      <w:pPr>
        <w:jc w:val="left"/>
        <w:rPr>
          <w:b/>
          <w:sz w:val="24"/>
          <w:szCs w:val="24"/>
        </w:rPr>
      </w:pPr>
    </w:p>
    <w:p w14:paraId="749C1A01" w14:textId="77777777" w:rsidR="00BE210E" w:rsidRPr="00656AD3" w:rsidRDefault="00495589" w:rsidP="00106DCF">
      <w:pPr>
        <w:ind w:left="720" w:hanging="720"/>
        <w:jc w:val="left"/>
        <w:outlineLvl w:val="0"/>
        <w:rPr>
          <w:b/>
          <w:sz w:val="24"/>
          <w:szCs w:val="24"/>
        </w:rPr>
      </w:pPr>
      <w:r w:rsidRPr="00656AD3">
        <w:rPr>
          <w:b/>
          <w:sz w:val="24"/>
          <w:szCs w:val="24"/>
        </w:rPr>
        <w:t>10</w:t>
      </w:r>
      <w:r w:rsidR="00B920DF" w:rsidRPr="00656AD3">
        <w:rPr>
          <w:b/>
          <w:sz w:val="24"/>
          <w:szCs w:val="24"/>
        </w:rPr>
        <w:t>.</w:t>
      </w:r>
      <w:r w:rsidR="00B920DF" w:rsidRPr="00656AD3">
        <w:rPr>
          <w:b/>
          <w:sz w:val="24"/>
          <w:szCs w:val="24"/>
        </w:rPr>
        <w:tab/>
        <w:t>BA</w:t>
      </w:r>
      <w:r w:rsidR="00BE210E" w:rsidRPr="00656AD3">
        <w:rPr>
          <w:b/>
          <w:sz w:val="24"/>
          <w:szCs w:val="24"/>
        </w:rPr>
        <w:t>CKGROUND PAPERS</w:t>
      </w:r>
    </w:p>
    <w:p w14:paraId="239E8C81" w14:textId="77777777" w:rsidR="00BE210E" w:rsidRPr="00656AD3" w:rsidRDefault="00BE210E" w:rsidP="0073669D">
      <w:pPr>
        <w:ind w:left="851" w:hanging="851"/>
        <w:jc w:val="left"/>
        <w:rPr>
          <w:sz w:val="24"/>
          <w:szCs w:val="24"/>
        </w:rPr>
      </w:pPr>
    </w:p>
    <w:p w14:paraId="1480F952" w14:textId="77777777" w:rsidR="001B1635" w:rsidRPr="00656AD3" w:rsidRDefault="00A17AF5" w:rsidP="0073669D">
      <w:pPr>
        <w:ind w:left="851" w:hanging="851"/>
        <w:jc w:val="left"/>
        <w:rPr>
          <w:sz w:val="24"/>
          <w:szCs w:val="24"/>
        </w:rPr>
      </w:pPr>
      <w:r w:rsidRPr="00656AD3">
        <w:rPr>
          <w:sz w:val="24"/>
          <w:szCs w:val="24"/>
        </w:rPr>
        <w:t>None</w:t>
      </w:r>
    </w:p>
    <w:p w14:paraId="32E98B11" w14:textId="77777777" w:rsidR="00824F3F" w:rsidRPr="00656AD3" w:rsidRDefault="00824F3F" w:rsidP="0073669D">
      <w:pPr>
        <w:ind w:left="851" w:hanging="851"/>
        <w:jc w:val="left"/>
        <w:rPr>
          <w:sz w:val="24"/>
          <w:szCs w:val="24"/>
        </w:rPr>
      </w:pPr>
    </w:p>
    <w:tbl>
      <w:tblPr>
        <w:tblW w:w="0" w:type="auto"/>
        <w:tblLook w:val="01E0" w:firstRow="1" w:lastRow="1" w:firstColumn="1" w:lastColumn="1" w:noHBand="0" w:noVBand="0"/>
      </w:tblPr>
      <w:tblGrid>
        <w:gridCol w:w="1788"/>
        <w:gridCol w:w="296"/>
        <w:gridCol w:w="6910"/>
      </w:tblGrid>
      <w:tr w:rsidR="008633DD" w:rsidRPr="00656AD3" w14:paraId="7A5A6B59" w14:textId="77777777" w:rsidTr="00916E63">
        <w:tc>
          <w:tcPr>
            <w:tcW w:w="1788" w:type="dxa"/>
            <w:shd w:val="clear" w:color="auto" w:fill="auto"/>
          </w:tcPr>
          <w:p w14:paraId="4488E191" w14:textId="77777777" w:rsidR="008633DD" w:rsidRPr="00656AD3" w:rsidRDefault="008633DD" w:rsidP="0073669D">
            <w:pPr>
              <w:ind w:left="851" w:hanging="851"/>
              <w:jc w:val="left"/>
              <w:rPr>
                <w:rFonts w:cs="Arial"/>
                <w:sz w:val="24"/>
                <w:szCs w:val="24"/>
              </w:rPr>
            </w:pPr>
            <w:r w:rsidRPr="00656AD3">
              <w:rPr>
                <w:rFonts w:cs="Arial"/>
                <w:sz w:val="24"/>
                <w:szCs w:val="24"/>
              </w:rPr>
              <w:t>Report Author</w:t>
            </w:r>
          </w:p>
        </w:tc>
        <w:tc>
          <w:tcPr>
            <w:tcW w:w="296" w:type="dxa"/>
            <w:shd w:val="clear" w:color="auto" w:fill="auto"/>
          </w:tcPr>
          <w:p w14:paraId="52426213" w14:textId="77777777" w:rsidR="008633DD" w:rsidRPr="00656AD3" w:rsidRDefault="008633DD" w:rsidP="0073669D">
            <w:pPr>
              <w:ind w:left="851" w:hanging="851"/>
              <w:jc w:val="left"/>
              <w:rPr>
                <w:rFonts w:cs="Arial"/>
                <w:sz w:val="24"/>
                <w:szCs w:val="24"/>
              </w:rPr>
            </w:pPr>
            <w:r w:rsidRPr="00656AD3">
              <w:rPr>
                <w:rFonts w:cs="Arial"/>
                <w:sz w:val="24"/>
                <w:szCs w:val="24"/>
              </w:rPr>
              <w:t>-</w:t>
            </w:r>
          </w:p>
        </w:tc>
        <w:tc>
          <w:tcPr>
            <w:tcW w:w="6910" w:type="dxa"/>
            <w:shd w:val="clear" w:color="auto" w:fill="auto"/>
          </w:tcPr>
          <w:p w14:paraId="57B94A0B" w14:textId="0F37197E" w:rsidR="008633DD" w:rsidRPr="00656AD3" w:rsidRDefault="00276E31" w:rsidP="00276E31">
            <w:pPr>
              <w:ind w:left="851" w:hanging="851"/>
              <w:jc w:val="left"/>
              <w:rPr>
                <w:rFonts w:cs="Arial"/>
                <w:sz w:val="24"/>
                <w:szCs w:val="24"/>
              </w:rPr>
            </w:pPr>
            <w:r>
              <w:rPr>
                <w:rFonts w:cs="Arial"/>
                <w:sz w:val="24"/>
                <w:szCs w:val="24"/>
              </w:rPr>
              <w:t>Emma Cable</w:t>
            </w:r>
          </w:p>
        </w:tc>
      </w:tr>
      <w:tr w:rsidR="008633DD" w:rsidRPr="00656AD3" w14:paraId="4F4F6A09" w14:textId="77777777" w:rsidTr="00916E63">
        <w:tc>
          <w:tcPr>
            <w:tcW w:w="1788" w:type="dxa"/>
            <w:shd w:val="clear" w:color="auto" w:fill="auto"/>
          </w:tcPr>
          <w:p w14:paraId="79D52FFD" w14:textId="77777777" w:rsidR="008633DD" w:rsidRPr="00656AD3" w:rsidRDefault="008633DD" w:rsidP="0073669D">
            <w:pPr>
              <w:ind w:left="851" w:hanging="851"/>
              <w:jc w:val="left"/>
              <w:rPr>
                <w:rFonts w:cs="Arial"/>
                <w:sz w:val="24"/>
                <w:szCs w:val="24"/>
              </w:rPr>
            </w:pPr>
            <w:r w:rsidRPr="00656AD3">
              <w:rPr>
                <w:rFonts w:cs="Arial"/>
                <w:sz w:val="24"/>
                <w:szCs w:val="24"/>
              </w:rPr>
              <w:t>Designation</w:t>
            </w:r>
          </w:p>
        </w:tc>
        <w:tc>
          <w:tcPr>
            <w:tcW w:w="296" w:type="dxa"/>
            <w:shd w:val="clear" w:color="auto" w:fill="auto"/>
          </w:tcPr>
          <w:p w14:paraId="029EE417" w14:textId="77777777" w:rsidR="008633DD" w:rsidRPr="00656AD3" w:rsidRDefault="008633DD" w:rsidP="0073669D">
            <w:pPr>
              <w:ind w:left="851" w:hanging="851"/>
              <w:jc w:val="left"/>
              <w:rPr>
                <w:rFonts w:cs="Arial"/>
                <w:sz w:val="24"/>
                <w:szCs w:val="24"/>
              </w:rPr>
            </w:pPr>
            <w:r w:rsidRPr="00656AD3">
              <w:rPr>
                <w:rFonts w:cs="Arial"/>
                <w:sz w:val="24"/>
                <w:szCs w:val="24"/>
              </w:rPr>
              <w:t>-</w:t>
            </w:r>
          </w:p>
        </w:tc>
        <w:tc>
          <w:tcPr>
            <w:tcW w:w="6910" w:type="dxa"/>
            <w:shd w:val="clear" w:color="auto" w:fill="auto"/>
          </w:tcPr>
          <w:p w14:paraId="24A0FE7B" w14:textId="77777777" w:rsidR="008633DD" w:rsidRPr="00656AD3" w:rsidRDefault="00DA3F6C" w:rsidP="0073669D">
            <w:pPr>
              <w:ind w:left="851" w:hanging="851"/>
              <w:jc w:val="left"/>
              <w:rPr>
                <w:rFonts w:cs="Arial"/>
                <w:sz w:val="24"/>
                <w:szCs w:val="24"/>
              </w:rPr>
            </w:pPr>
            <w:r w:rsidRPr="00656AD3">
              <w:rPr>
                <w:rFonts w:cs="Arial"/>
                <w:sz w:val="24"/>
                <w:szCs w:val="24"/>
              </w:rPr>
              <w:t>Financial Services Manager</w:t>
            </w:r>
          </w:p>
        </w:tc>
      </w:tr>
      <w:tr w:rsidR="008633DD" w:rsidRPr="00656AD3" w14:paraId="5EEA0DA5" w14:textId="77777777" w:rsidTr="00916E63">
        <w:tc>
          <w:tcPr>
            <w:tcW w:w="1788" w:type="dxa"/>
            <w:shd w:val="clear" w:color="auto" w:fill="auto"/>
          </w:tcPr>
          <w:p w14:paraId="34A3B256" w14:textId="77777777" w:rsidR="008633DD" w:rsidRPr="00656AD3" w:rsidRDefault="008633DD" w:rsidP="0073669D">
            <w:pPr>
              <w:ind w:left="851" w:hanging="851"/>
              <w:jc w:val="left"/>
              <w:rPr>
                <w:rFonts w:cs="Arial"/>
                <w:sz w:val="24"/>
                <w:szCs w:val="24"/>
              </w:rPr>
            </w:pPr>
            <w:r w:rsidRPr="00656AD3">
              <w:rPr>
                <w:rFonts w:cs="Arial"/>
                <w:sz w:val="24"/>
                <w:szCs w:val="24"/>
              </w:rPr>
              <w:t>Telephone</w:t>
            </w:r>
          </w:p>
        </w:tc>
        <w:tc>
          <w:tcPr>
            <w:tcW w:w="296" w:type="dxa"/>
            <w:shd w:val="clear" w:color="auto" w:fill="auto"/>
          </w:tcPr>
          <w:p w14:paraId="06FD69A2" w14:textId="77777777" w:rsidR="008633DD" w:rsidRPr="00656AD3" w:rsidRDefault="008633DD" w:rsidP="0073669D">
            <w:pPr>
              <w:ind w:left="851" w:hanging="851"/>
              <w:jc w:val="left"/>
              <w:rPr>
                <w:rFonts w:cs="Arial"/>
                <w:sz w:val="24"/>
                <w:szCs w:val="24"/>
              </w:rPr>
            </w:pPr>
            <w:r w:rsidRPr="00656AD3">
              <w:rPr>
                <w:rFonts w:cs="Arial"/>
                <w:sz w:val="24"/>
                <w:szCs w:val="24"/>
              </w:rPr>
              <w:t>-</w:t>
            </w:r>
          </w:p>
        </w:tc>
        <w:tc>
          <w:tcPr>
            <w:tcW w:w="6910" w:type="dxa"/>
            <w:shd w:val="clear" w:color="auto" w:fill="auto"/>
          </w:tcPr>
          <w:p w14:paraId="42CA1DE7" w14:textId="0ECD381A" w:rsidR="008633DD" w:rsidRPr="00656AD3" w:rsidRDefault="0044370E" w:rsidP="00276E31">
            <w:pPr>
              <w:ind w:left="851" w:hanging="851"/>
              <w:jc w:val="left"/>
              <w:rPr>
                <w:rFonts w:cs="Arial"/>
                <w:sz w:val="24"/>
                <w:szCs w:val="24"/>
              </w:rPr>
            </w:pPr>
            <w:r w:rsidRPr="00656AD3">
              <w:rPr>
                <w:rFonts w:cs="Arial"/>
                <w:sz w:val="24"/>
                <w:szCs w:val="24"/>
              </w:rPr>
              <w:t xml:space="preserve">01623 </w:t>
            </w:r>
            <w:r w:rsidR="00DA3F6C" w:rsidRPr="00656AD3">
              <w:rPr>
                <w:rFonts w:cs="Arial"/>
                <w:sz w:val="24"/>
                <w:szCs w:val="24"/>
              </w:rPr>
              <w:t>463</w:t>
            </w:r>
            <w:r w:rsidR="00276E31">
              <w:rPr>
                <w:rFonts w:cs="Arial"/>
                <w:sz w:val="24"/>
                <w:szCs w:val="24"/>
              </w:rPr>
              <w:t>495</w:t>
            </w:r>
          </w:p>
        </w:tc>
      </w:tr>
      <w:tr w:rsidR="008633DD" w:rsidRPr="00656AD3" w14:paraId="60FDAE8C" w14:textId="77777777" w:rsidTr="00916E63">
        <w:tc>
          <w:tcPr>
            <w:tcW w:w="1788" w:type="dxa"/>
            <w:shd w:val="clear" w:color="auto" w:fill="auto"/>
          </w:tcPr>
          <w:p w14:paraId="541A4DE7" w14:textId="77777777" w:rsidR="008633DD" w:rsidRPr="00656AD3" w:rsidRDefault="008633DD" w:rsidP="0073669D">
            <w:pPr>
              <w:ind w:left="851" w:hanging="851"/>
              <w:jc w:val="left"/>
              <w:rPr>
                <w:rFonts w:cs="Arial"/>
                <w:sz w:val="24"/>
                <w:szCs w:val="24"/>
              </w:rPr>
            </w:pPr>
            <w:r w:rsidRPr="00656AD3">
              <w:rPr>
                <w:rFonts w:cs="Arial"/>
                <w:sz w:val="24"/>
                <w:szCs w:val="24"/>
              </w:rPr>
              <w:t>E-mail</w:t>
            </w:r>
          </w:p>
        </w:tc>
        <w:tc>
          <w:tcPr>
            <w:tcW w:w="296" w:type="dxa"/>
            <w:shd w:val="clear" w:color="auto" w:fill="auto"/>
          </w:tcPr>
          <w:p w14:paraId="102B8464" w14:textId="77777777" w:rsidR="008633DD" w:rsidRPr="00656AD3" w:rsidRDefault="008633DD" w:rsidP="0073669D">
            <w:pPr>
              <w:ind w:left="851" w:hanging="851"/>
              <w:jc w:val="left"/>
              <w:rPr>
                <w:rFonts w:cs="Arial"/>
                <w:sz w:val="24"/>
                <w:szCs w:val="24"/>
              </w:rPr>
            </w:pPr>
            <w:r w:rsidRPr="00656AD3">
              <w:rPr>
                <w:rFonts w:cs="Arial"/>
                <w:sz w:val="24"/>
                <w:szCs w:val="24"/>
              </w:rPr>
              <w:t>-</w:t>
            </w:r>
          </w:p>
        </w:tc>
        <w:tc>
          <w:tcPr>
            <w:tcW w:w="6910" w:type="dxa"/>
            <w:shd w:val="clear" w:color="auto" w:fill="auto"/>
          </w:tcPr>
          <w:p w14:paraId="7082B243" w14:textId="3C2179A1" w:rsidR="008633DD" w:rsidRPr="00656AD3" w:rsidRDefault="00DA3F6C" w:rsidP="00276E31">
            <w:pPr>
              <w:ind w:left="851" w:hanging="851"/>
              <w:jc w:val="left"/>
              <w:rPr>
                <w:rFonts w:cs="Arial"/>
                <w:sz w:val="24"/>
                <w:szCs w:val="24"/>
              </w:rPr>
            </w:pPr>
            <w:r w:rsidRPr="00656AD3">
              <w:rPr>
                <w:rFonts w:cs="Arial"/>
                <w:sz w:val="24"/>
                <w:szCs w:val="24"/>
              </w:rPr>
              <w:t>e</w:t>
            </w:r>
            <w:r w:rsidR="00276E31">
              <w:rPr>
                <w:rFonts w:cs="Arial"/>
                <w:sz w:val="24"/>
                <w:szCs w:val="24"/>
              </w:rPr>
              <w:t>cable</w:t>
            </w:r>
            <w:r w:rsidR="00624943" w:rsidRPr="00656AD3">
              <w:rPr>
                <w:rFonts w:cs="Arial"/>
                <w:sz w:val="24"/>
                <w:szCs w:val="24"/>
              </w:rPr>
              <w:t>@mansfield.gov.uk</w:t>
            </w:r>
            <w:hyperlink r:id="rId9" w:history="1"/>
          </w:p>
        </w:tc>
      </w:tr>
      <w:tr w:rsidR="00624943" w:rsidRPr="00656AD3" w14:paraId="3307639B" w14:textId="77777777" w:rsidTr="00916E63">
        <w:tc>
          <w:tcPr>
            <w:tcW w:w="1788" w:type="dxa"/>
            <w:shd w:val="clear" w:color="auto" w:fill="auto"/>
          </w:tcPr>
          <w:p w14:paraId="7F1E1496" w14:textId="77777777" w:rsidR="00624943" w:rsidRPr="00656AD3" w:rsidRDefault="00624943" w:rsidP="00916E63">
            <w:pPr>
              <w:jc w:val="left"/>
              <w:rPr>
                <w:rFonts w:cs="Arial"/>
                <w:sz w:val="24"/>
                <w:szCs w:val="24"/>
              </w:rPr>
            </w:pPr>
          </w:p>
        </w:tc>
        <w:tc>
          <w:tcPr>
            <w:tcW w:w="296" w:type="dxa"/>
            <w:shd w:val="clear" w:color="auto" w:fill="auto"/>
          </w:tcPr>
          <w:p w14:paraId="4008B5A1" w14:textId="77777777" w:rsidR="00624943" w:rsidRPr="00656AD3" w:rsidRDefault="00624943" w:rsidP="00916E63">
            <w:pPr>
              <w:jc w:val="left"/>
              <w:rPr>
                <w:rFonts w:cs="Arial"/>
                <w:sz w:val="24"/>
                <w:szCs w:val="24"/>
              </w:rPr>
            </w:pPr>
          </w:p>
        </w:tc>
        <w:tc>
          <w:tcPr>
            <w:tcW w:w="6910" w:type="dxa"/>
            <w:shd w:val="clear" w:color="auto" w:fill="auto"/>
          </w:tcPr>
          <w:p w14:paraId="292CB423" w14:textId="77777777" w:rsidR="00624943" w:rsidRPr="00656AD3" w:rsidRDefault="00624943" w:rsidP="00916E63">
            <w:pPr>
              <w:jc w:val="left"/>
              <w:rPr>
                <w:rFonts w:cs="Arial"/>
                <w:sz w:val="24"/>
                <w:szCs w:val="24"/>
              </w:rPr>
            </w:pPr>
          </w:p>
        </w:tc>
      </w:tr>
    </w:tbl>
    <w:p w14:paraId="2734DE63" w14:textId="77777777" w:rsidR="007F1CE5" w:rsidRDefault="007F1CE5" w:rsidP="00772FE1">
      <w:pPr>
        <w:jc w:val="left"/>
        <w:rPr>
          <w:rFonts w:cs="Arial"/>
          <w:b/>
          <w:sz w:val="32"/>
          <w:szCs w:val="32"/>
        </w:rPr>
      </w:pPr>
    </w:p>
    <w:p w14:paraId="7E75015B" w14:textId="77777777" w:rsidR="007F1CE5" w:rsidRDefault="007F1CE5">
      <w:pPr>
        <w:jc w:val="left"/>
        <w:rPr>
          <w:rFonts w:cs="Arial"/>
          <w:b/>
          <w:sz w:val="32"/>
          <w:szCs w:val="32"/>
        </w:rPr>
      </w:pPr>
      <w:r>
        <w:rPr>
          <w:rFonts w:cs="Arial"/>
          <w:b/>
          <w:sz w:val="32"/>
          <w:szCs w:val="32"/>
        </w:rPr>
        <w:br w:type="page"/>
      </w:r>
    </w:p>
    <w:p w14:paraId="356746DA" w14:textId="32443A15" w:rsidR="00CF625B" w:rsidRDefault="00CF625B" w:rsidP="00772FE1">
      <w:pPr>
        <w:jc w:val="left"/>
        <w:rPr>
          <w:rFonts w:cs="Arial"/>
          <w:b/>
          <w:sz w:val="32"/>
          <w:szCs w:val="32"/>
        </w:rPr>
      </w:pPr>
      <w:r w:rsidRPr="00D53DE6">
        <w:rPr>
          <w:rFonts w:cs="Arial"/>
          <w:b/>
          <w:sz w:val="32"/>
          <w:szCs w:val="32"/>
        </w:rPr>
        <w:lastRenderedPageBreak/>
        <w:t xml:space="preserve">Appendix </w:t>
      </w:r>
      <w:r w:rsidR="00E33107" w:rsidRPr="00D53DE6">
        <w:rPr>
          <w:rFonts w:cs="Arial"/>
          <w:b/>
          <w:sz w:val="32"/>
          <w:szCs w:val="32"/>
        </w:rPr>
        <w:t>1</w:t>
      </w:r>
    </w:p>
    <w:p w14:paraId="38DEA66A" w14:textId="50A3095F" w:rsidR="00980AE0" w:rsidRDefault="00980AE0" w:rsidP="00772FE1">
      <w:pPr>
        <w:jc w:val="left"/>
        <w:rPr>
          <w:rFonts w:cs="Arial"/>
          <w:b/>
          <w:sz w:val="32"/>
          <w:szCs w:val="32"/>
        </w:rPr>
      </w:pPr>
    </w:p>
    <w:p w14:paraId="19AB6BB0" w14:textId="0AB903D1" w:rsidR="00980AE0" w:rsidRDefault="00980AE0" w:rsidP="00772FE1">
      <w:pPr>
        <w:jc w:val="left"/>
        <w:rPr>
          <w:b/>
          <w:sz w:val="24"/>
          <w:szCs w:val="24"/>
        </w:rPr>
      </w:pPr>
      <w:r>
        <w:rPr>
          <w:b/>
          <w:sz w:val="24"/>
          <w:szCs w:val="24"/>
        </w:rPr>
        <w:t>General Fund</w:t>
      </w:r>
      <w:r w:rsidRPr="00656AD3">
        <w:rPr>
          <w:b/>
          <w:sz w:val="24"/>
          <w:szCs w:val="24"/>
        </w:rPr>
        <w:t xml:space="preserve"> Proposed Budgets</w:t>
      </w:r>
      <w:r>
        <w:rPr>
          <w:b/>
          <w:sz w:val="24"/>
          <w:szCs w:val="24"/>
        </w:rPr>
        <w:t xml:space="preserve">, </w:t>
      </w:r>
      <w:r w:rsidRPr="00243580">
        <w:rPr>
          <w:b/>
          <w:sz w:val="24"/>
          <w:szCs w:val="24"/>
        </w:rPr>
        <w:t>2021/22 to 2023/24</w:t>
      </w:r>
    </w:p>
    <w:p w14:paraId="76D41DBF" w14:textId="77777777" w:rsidR="00980AE0" w:rsidRDefault="00980AE0" w:rsidP="00772FE1">
      <w:pPr>
        <w:jc w:val="left"/>
        <w:rPr>
          <w:b/>
          <w:sz w:val="24"/>
          <w:szCs w:val="24"/>
        </w:rPr>
      </w:pPr>
    </w:p>
    <w:tbl>
      <w:tblPr>
        <w:tblW w:w="8880" w:type="dxa"/>
        <w:tblLook w:val="04A0" w:firstRow="1" w:lastRow="0" w:firstColumn="1" w:lastColumn="0" w:noHBand="0" w:noVBand="1"/>
      </w:tblPr>
      <w:tblGrid>
        <w:gridCol w:w="3800"/>
        <w:gridCol w:w="1244"/>
        <w:gridCol w:w="1300"/>
        <w:gridCol w:w="1300"/>
        <w:gridCol w:w="1300"/>
      </w:tblGrid>
      <w:tr w:rsidR="00644AB7" w:rsidRPr="00644AB7" w14:paraId="3114F0C5" w14:textId="77777777" w:rsidTr="00644AB7">
        <w:trPr>
          <w:trHeight w:val="288"/>
        </w:trPr>
        <w:tc>
          <w:tcPr>
            <w:tcW w:w="3800" w:type="dxa"/>
            <w:tcBorders>
              <w:top w:val="nil"/>
              <w:left w:val="nil"/>
              <w:bottom w:val="nil"/>
              <w:right w:val="nil"/>
            </w:tcBorders>
            <w:shd w:val="clear" w:color="auto" w:fill="auto"/>
            <w:hideMark/>
          </w:tcPr>
          <w:p w14:paraId="614055FB" w14:textId="77777777" w:rsidR="00644AB7" w:rsidRPr="00644AB7" w:rsidRDefault="00644AB7" w:rsidP="00644AB7">
            <w:pPr>
              <w:jc w:val="left"/>
              <w:rPr>
                <w:rFonts w:ascii="Times New Roman" w:hAnsi="Times New Roman"/>
                <w:sz w:val="20"/>
                <w:szCs w:val="20"/>
              </w:rPr>
            </w:pPr>
          </w:p>
        </w:tc>
        <w:tc>
          <w:tcPr>
            <w:tcW w:w="1180" w:type="dxa"/>
            <w:tcBorders>
              <w:top w:val="nil"/>
              <w:left w:val="nil"/>
              <w:bottom w:val="nil"/>
              <w:right w:val="nil"/>
            </w:tcBorders>
            <w:shd w:val="clear" w:color="auto" w:fill="auto"/>
            <w:hideMark/>
          </w:tcPr>
          <w:p w14:paraId="7C2F7551" w14:textId="77777777" w:rsidR="00644AB7" w:rsidRPr="00644AB7" w:rsidRDefault="00644AB7" w:rsidP="00644AB7">
            <w:pPr>
              <w:jc w:val="center"/>
              <w:rPr>
                <w:rFonts w:cs="Arial"/>
                <w:b/>
                <w:bCs/>
                <w:color w:val="000000"/>
                <w:sz w:val="24"/>
                <w:szCs w:val="24"/>
              </w:rPr>
            </w:pPr>
            <w:r w:rsidRPr="00644AB7">
              <w:rPr>
                <w:rFonts w:cs="Arial"/>
                <w:b/>
                <w:bCs/>
                <w:color w:val="000000"/>
                <w:sz w:val="24"/>
                <w:szCs w:val="24"/>
              </w:rPr>
              <w:t>2020/21</w:t>
            </w:r>
          </w:p>
        </w:tc>
        <w:tc>
          <w:tcPr>
            <w:tcW w:w="1300" w:type="dxa"/>
            <w:tcBorders>
              <w:top w:val="nil"/>
              <w:left w:val="nil"/>
              <w:bottom w:val="nil"/>
              <w:right w:val="nil"/>
            </w:tcBorders>
            <w:shd w:val="clear" w:color="auto" w:fill="auto"/>
            <w:hideMark/>
          </w:tcPr>
          <w:p w14:paraId="43B49D49" w14:textId="77777777" w:rsidR="00644AB7" w:rsidRPr="00644AB7" w:rsidRDefault="00644AB7" w:rsidP="00644AB7">
            <w:pPr>
              <w:jc w:val="center"/>
              <w:rPr>
                <w:rFonts w:cs="Arial"/>
                <w:b/>
                <w:bCs/>
                <w:color w:val="000000"/>
                <w:sz w:val="24"/>
                <w:szCs w:val="24"/>
              </w:rPr>
            </w:pPr>
            <w:r w:rsidRPr="00644AB7">
              <w:rPr>
                <w:rFonts w:cs="Arial"/>
                <w:b/>
                <w:bCs/>
                <w:color w:val="000000"/>
                <w:sz w:val="24"/>
                <w:szCs w:val="24"/>
              </w:rPr>
              <w:t>2021/22</w:t>
            </w:r>
          </w:p>
        </w:tc>
        <w:tc>
          <w:tcPr>
            <w:tcW w:w="1300" w:type="dxa"/>
            <w:tcBorders>
              <w:top w:val="nil"/>
              <w:left w:val="nil"/>
              <w:bottom w:val="nil"/>
              <w:right w:val="nil"/>
            </w:tcBorders>
            <w:shd w:val="clear" w:color="auto" w:fill="auto"/>
            <w:hideMark/>
          </w:tcPr>
          <w:p w14:paraId="0302D2EA" w14:textId="77777777" w:rsidR="00644AB7" w:rsidRPr="00644AB7" w:rsidRDefault="00644AB7" w:rsidP="00644AB7">
            <w:pPr>
              <w:jc w:val="center"/>
              <w:rPr>
                <w:rFonts w:cs="Arial"/>
                <w:b/>
                <w:bCs/>
                <w:color w:val="000000"/>
                <w:sz w:val="24"/>
                <w:szCs w:val="24"/>
              </w:rPr>
            </w:pPr>
            <w:r w:rsidRPr="00644AB7">
              <w:rPr>
                <w:rFonts w:cs="Arial"/>
                <w:b/>
                <w:bCs/>
                <w:color w:val="000000"/>
                <w:sz w:val="24"/>
                <w:szCs w:val="24"/>
              </w:rPr>
              <w:t>2022/23</w:t>
            </w:r>
          </w:p>
        </w:tc>
        <w:tc>
          <w:tcPr>
            <w:tcW w:w="1300" w:type="dxa"/>
            <w:tcBorders>
              <w:top w:val="nil"/>
              <w:left w:val="nil"/>
              <w:bottom w:val="nil"/>
              <w:right w:val="nil"/>
            </w:tcBorders>
            <w:shd w:val="clear" w:color="auto" w:fill="auto"/>
            <w:hideMark/>
          </w:tcPr>
          <w:p w14:paraId="1E6202DF" w14:textId="77777777" w:rsidR="00644AB7" w:rsidRPr="00644AB7" w:rsidRDefault="00644AB7" w:rsidP="00644AB7">
            <w:pPr>
              <w:jc w:val="center"/>
              <w:rPr>
                <w:rFonts w:cs="Arial"/>
                <w:b/>
                <w:bCs/>
                <w:color w:val="000000"/>
                <w:sz w:val="24"/>
                <w:szCs w:val="24"/>
              </w:rPr>
            </w:pPr>
            <w:r w:rsidRPr="00644AB7">
              <w:rPr>
                <w:rFonts w:cs="Arial"/>
                <w:b/>
                <w:bCs/>
                <w:color w:val="000000"/>
                <w:sz w:val="24"/>
                <w:szCs w:val="24"/>
              </w:rPr>
              <w:t>2023/24</w:t>
            </w:r>
          </w:p>
        </w:tc>
      </w:tr>
      <w:tr w:rsidR="00644AB7" w:rsidRPr="00644AB7" w14:paraId="14982ADA" w14:textId="77777777" w:rsidTr="00644AB7">
        <w:trPr>
          <w:trHeight w:val="900"/>
        </w:trPr>
        <w:tc>
          <w:tcPr>
            <w:tcW w:w="3800" w:type="dxa"/>
            <w:tcBorders>
              <w:top w:val="nil"/>
              <w:left w:val="nil"/>
              <w:bottom w:val="nil"/>
              <w:right w:val="nil"/>
            </w:tcBorders>
            <w:shd w:val="clear" w:color="auto" w:fill="auto"/>
            <w:noWrap/>
            <w:hideMark/>
          </w:tcPr>
          <w:p w14:paraId="0B657230" w14:textId="77777777" w:rsidR="00644AB7" w:rsidRPr="00644AB7" w:rsidRDefault="00644AB7" w:rsidP="00644AB7">
            <w:pPr>
              <w:jc w:val="center"/>
              <w:rPr>
                <w:rFonts w:cs="Arial"/>
                <w:b/>
                <w:bCs/>
                <w:color w:val="000000"/>
                <w:sz w:val="24"/>
                <w:szCs w:val="24"/>
              </w:rPr>
            </w:pPr>
          </w:p>
        </w:tc>
        <w:tc>
          <w:tcPr>
            <w:tcW w:w="1180" w:type="dxa"/>
            <w:tcBorders>
              <w:top w:val="nil"/>
              <w:left w:val="nil"/>
              <w:bottom w:val="nil"/>
              <w:right w:val="nil"/>
            </w:tcBorders>
            <w:shd w:val="clear" w:color="auto" w:fill="auto"/>
            <w:hideMark/>
          </w:tcPr>
          <w:p w14:paraId="4DDA4CE4" w14:textId="77777777" w:rsidR="00644AB7" w:rsidRPr="00644AB7" w:rsidRDefault="00644AB7" w:rsidP="00644AB7">
            <w:pPr>
              <w:jc w:val="center"/>
              <w:rPr>
                <w:rFonts w:cs="Arial"/>
                <w:color w:val="000000"/>
                <w:sz w:val="24"/>
                <w:szCs w:val="24"/>
              </w:rPr>
            </w:pPr>
            <w:r w:rsidRPr="00644AB7">
              <w:rPr>
                <w:rFonts w:cs="Arial"/>
                <w:color w:val="000000"/>
                <w:sz w:val="24"/>
                <w:szCs w:val="24"/>
              </w:rPr>
              <w:t>Latest Approved Budget</w:t>
            </w:r>
          </w:p>
        </w:tc>
        <w:tc>
          <w:tcPr>
            <w:tcW w:w="1300" w:type="dxa"/>
            <w:tcBorders>
              <w:top w:val="nil"/>
              <w:left w:val="nil"/>
              <w:bottom w:val="nil"/>
              <w:right w:val="nil"/>
            </w:tcBorders>
            <w:shd w:val="clear" w:color="auto" w:fill="auto"/>
            <w:hideMark/>
          </w:tcPr>
          <w:p w14:paraId="4AC49C2C" w14:textId="77777777" w:rsidR="00644AB7" w:rsidRPr="00644AB7" w:rsidRDefault="00644AB7" w:rsidP="00644AB7">
            <w:pPr>
              <w:jc w:val="center"/>
              <w:rPr>
                <w:rFonts w:cs="Arial"/>
                <w:color w:val="000000"/>
                <w:sz w:val="24"/>
                <w:szCs w:val="24"/>
              </w:rPr>
            </w:pPr>
            <w:r w:rsidRPr="00644AB7">
              <w:rPr>
                <w:rFonts w:cs="Arial"/>
                <w:color w:val="000000"/>
                <w:sz w:val="24"/>
                <w:szCs w:val="24"/>
              </w:rPr>
              <w:t xml:space="preserve">Total Year Budget </w:t>
            </w:r>
          </w:p>
        </w:tc>
        <w:tc>
          <w:tcPr>
            <w:tcW w:w="1300" w:type="dxa"/>
            <w:tcBorders>
              <w:top w:val="nil"/>
              <w:left w:val="nil"/>
              <w:bottom w:val="nil"/>
              <w:right w:val="nil"/>
            </w:tcBorders>
            <w:shd w:val="clear" w:color="auto" w:fill="auto"/>
            <w:hideMark/>
          </w:tcPr>
          <w:p w14:paraId="73A8198D" w14:textId="77777777" w:rsidR="00644AB7" w:rsidRPr="00644AB7" w:rsidRDefault="00644AB7" w:rsidP="00644AB7">
            <w:pPr>
              <w:jc w:val="center"/>
              <w:rPr>
                <w:rFonts w:cs="Arial"/>
                <w:color w:val="000000"/>
                <w:sz w:val="24"/>
                <w:szCs w:val="24"/>
              </w:rPr>
            </w:pPr>
            <w:r w:rsidRPr="00644AB7">
              <w:rPr>
                <w:rFonts w:cs="Arial"/>
                <w:color w:val="000000"/>
                <w:sz w:val="24"/>
                <w:szCs w:val="24"/>
              </w:rPr>
              <w:t>Total Year Budget</w:t>
            </w:r>
          </w:p>
        </w:tc>
        <w:tc>
          <w:tcPr>
            <w:tcW w:w="1300" w:type="dxa"/>
            <w:tcBorders>
              <w:top w:val="nil"/>
              <w:left w:val="nil"/>
              <w:bottom w:val="nil"/>
              <w:right w:val="nil"/>
            </w:tcBorders>
            <w:shd w:val="clear" w:color="auto" w:fill="auto"/>
            <w:hideMark/>
          </w:tcPr>
          <w:p w14:paraId="12E920B3" w14:textId="77777777" w:rsidR="00644AB7" w:rsidRPr="00644AB7" w:rsidRDefault="00644AB7" w:rsidP="00644AB7">
            <w:pPr>
              <w:jc w:val="center"/>
              <w:rPr>
                <w:rFonts w:cs="Arial"/>
                <w:color w:val="000000"/>
                <w:sz w:val="24"/>
                <w:szCs w:val="24"/>
              </w:rPr>
            </w:pPr>
            <w:r w:rsidRPr="00644AB7">
              <w:rPr>
                <w:rFonts w:cs="Arial"/>
                <w:color w:val="000000"/>
                <w:sz w:val="24"/>
                <w:szCs w:val="24"/>
              </w:rPr>
              <w:t>Total Year Budget</w:t>
            </w:r>
          </w:p>
        </w:tc>
      </w:tr>
      <w:tr w:rsidR="00644AB7" w:rsidRPr="00644AB7" w14:paraId="7DB023CC" w14:textId="77777777" w:rsidTr="00644AB7">
        <w:trPr>
          <w:trHeight w:val="300"/>
        </w:trPr>
        <w:tc>
          <w:tcPr>
            <w:tcW w:w="3800" w:type="dxa"/>
            <w:tcBorders>
              <w:top w:val="nil"/>
              <w:left w:val="nil"/>
              <w:bottom w:val="nil"/>
              <w:right w:val="nil"/>
            </w:tcBorders>
            <w:shd w:val="clear" w:color="auto" w:fill="auto"/>
            <w:noWrap/>
            <w:hideMark/>
          </w:tcPr>
          <w:p w14:paraId="2CB0AD09" w14:textId="77777777" w:rsidR="00644AB7" w:rsidRPr="00644AB7" w:rsidRDefault="00644AB7" w:rsidP="00644AB7">
            <w:pPr>
              <w:jc w:val="center"/>
              <w:rPr>
                <w:rFonts w:cs="Arial"/>
                <w:color w:val="000000"/>
                <w:sz w:val="24"/>
                <w:szCs w:val="24"/>
              </w:rPr>
            </w:pPr>
          </w:p>
        </w:tc>
        <w:tc>
          <w:tcPr>
            <w:tcW w:w="1180" w:type="dxa"/>
            <w:tcBorders>
              <w:top w:val="nil"/>
              <w:left w:val="nil"/>
              <w:bottom w:val="nil"/>
              <w:right w:val="nil"/>
            </w:tcBorders>
            <w:shd w:val="clear" w:color="auto" w:fill="auto"/>
            <w:noWrap/>
            <w:hideMark/>
          </w:tcPr>
          <w:p w14:paraId="10EB02D2" w14:textId="77777777" w:rsidR="00644AB7" w:rsidRPr="00644AB7"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22D7EFE2" w14:textId="77777777" w:rsidR="00644AB7" w:rsidRPr="00644AB7"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511A706A" w14:textId="77777777" w:rsidR="00644AB7" w:rsidRPr="00644AB7"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7E577F00" w14:textId="77777777" w:rsidR="00644AB7" w:rsidRPr="00644AB7" w:rsidRDefault="00644AB7" w:rsidP="00644AB7">
            <w:pPr>
              <w:jc w:val="left"/>
              <w:rPr>
                <w:rFonts w:ascii="Times New Roman" w:hAnsi="Times New Roman"/>
                <w:sz w:val="20"/>
                <w:szCs w:val="20"/>
              </w:rPr>
            </w:pPr>
          </w:p>
        </w:tc>
      </w:tr>
      <w:tr w:rsidR="00644AB7" w:rsidRPr="00644AB7" w14:paraId="7051D3D5" w14:textId="77777777" w:rsidTr="00644AB7">
        <w:trPr>
          <w:trHeight w:val="312"/>
        </w:trPr>
        <w:tc>
          <w:tcPr>
            <w:tcW w:w="3800" w:type="dxa"/>
            <w:tcBorders>
              <w:top w:val="nil"/>
              <w:left w:val="nil"/>
              <w:bottom w:val="nil"/>
              <w:right w:val="nil"/>
            </w:tcBorders>
            <w:shd w:val="clear" w:color="auto" w:fill="auto"/>
            <w:noWrap/>
            <w:hideMark/>
          </w:tcPr>
          <w:p w14:paraId="695A529A" w14:textId="77777777" w:rsidR="00644AB7" w:rsidRPr="00644AB7" w:rsidRDefault="00644AB7" w:rsidP="00644AB7">
            <w:pPr>
              <w:jc w:val="left"/>
              <w:rPr>
                <w:rFonts w:cs="Arial"/>
                <w:b/>
                <w:bCs/>
                <w:color w:val="000000"/>
                <w:sz w:val="24"/>
                <w:szCs w:val="24"/>
              </w:rPr>
            </w:pPr>
            <w:r w:rsidRPr="00B35816">
              <w:rPr>
                <w:rFonts w:cs="Arial"/>
                <w:b/>
                <w:bCs/>
                <w:color w:val="000000"/>
                <w:sz w:val="24"/>
                <w:szCs w:val="24"/>
              </w:rPr>
              <w:t>Head</w:t>
            </w:r>
            <w:r w:rsidRPr="00644AB7">
              <w:rPr>
                <w:rFonts w:cs="Arial"/>
                <w:b/>
                <w:bCs/>
                <w:color w:val="000000"/>
                <w:sz w:val="24"/>
                <w:szCs w:val="24"/>
              </w:rPr>
              <w:t xml:space="preserve"> of Service</w:t>
            </w:r>
          </w:p>
        </w:tc>
        <w:tc>
          <w:tcPr>
            <w:tcW w:w="1180" w:type="dxa"/>
            <w:tcBorders>
              <w:top w:val="nil"/>
              <w:left w:val="nil"/>
              <w:bottom w:val="nil"/>
              <w:right w:val="nil"/>
            </w:tcBorders>
            <w:shd w:val="clear" w:color="auto" w:fill="auto"/>
            <w:noWrap/>
            <w:hideMark/>
          </w:tcPr>
          <w:p w14:paraId="491FC3C6" w14:textId="77777777" w:rsidR="00644AB7" w:rsidRPr="00644AB7" w:rsidRDefault="00644AB7" w:rsidP="00644AB7">
            <w:pPr>
              <w:jc w:val="left"/>
              <w:rPr>
                <w:rFonts w:cs="Arial"/>
                <w:b/>
                <w:bCs/>
                <w:color w:val="000000"/>
                <w:sz w:val="24"/>
                <w:szCs w:val="24"/>
              </w:rPr>
            </w:pPr>
          </w:p>
        </w:tc>
        <w:tc>
          <w:tcPr>
            <w:tcW w:w="1300" w:type="dxa"/>
            <w:tcBorders>
              <w:top w:val="nil"/>
              <w:left w:val="nil"/>
              <w:bottom w:val="nil"/>
              <w:right w:val="nil"/>
            </w:tcBorders>
            <w:shd w:val="clear" w:color="auto" w:fill="auto"/>
            <w:noWrap/>
            <w:hideMark/>
          </w:tcPr>
          <w:p w14:paraId="62A656FF" w14:textId="77777777" w:rsidR="00644AB7" w:rsidRPr="00644AB7"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22646D33" w14:textId="77777777" w:rsidR="00644AB7" w:rsidRPr="00644AB7"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01BDFAF9" w14:textId="77777777" w:rsidR="00644AB7" w:rsidRPr="00644AB7" w:rsidRDefault="00644AB7" w:rsidP="00644AB7">
            <w:pPr>
              <w:jc w:val="left"/>
              <w:rPr>
                <w:rFonts w:ascii="Times New Roman" w:hAnsi="Times New Roman"/>
                <w:sz w:val="20"/>
                <w:szCs w:val="20"/>
              </w:rPr>
            </w:pPr>
          </w:p>
        </w:tc>
      </w:tr>
      <w:tr w:rsidR="00644AB7" w:rsidRPr="00644AB7" w14:paraId="3E0C35E9" w14:textId="77777777" w:rsidTr="00B35816">
        <w:trPr>
          <w:trHeight w:val="300"/>
        </w:trPr>
        <w:tc>
          <w:tcPr>
            <w:tcW w:w="3800" w:type="dxa"/>
            <w:tcBorders>
              <w:top w:val="nil"/>
              <w:left w:val="nil"/>
              <w:bottom w:val="nil"/>
              <w:right w:val="nil"/>
            </w:tcBorders>
            <w:shd w:val="clear" w:color="auto" w:fill="auto"/>
            <w:noWrap/>
            <w:hideMark/>
          </w:tcPr>
          <w:p w14:paraId="0E38871F" w14:textId="77777777" w:rsidR="00644AB7" w:rsidRPr="00B35816" w:rsidRDefault="00644AB7" w:rsidP="00644AB7">
            <w:pPr>
              <w:jc w:val="left"/>
              <w:rPr>
                <w:rFonts w:cs="Arial"/>
                <w:color w:val="000000"/>
                <w:sz w:val="24"/>
                <w:szCs w:val="24"/>
              </w:rPr>
            </w:pPr>
            <w:r w:rsidRPr="00B35816">
              <w:rPr>
                <w:rFonts w:cs="Arial"/>
                <w:color w:val="000000"/>
                <w:sz w:val="24"/>
                <w:szCs w:val="24"/>
              </w:rPr>
              <w:t>Head of People &amp;Transformation</w:t>
            </w:r>
          </w:p>
        </w:tc>
        <w:tc>
          <w:tcPr>
            <w:tcW w:w="1180" w:type="dxa"/>
            <w:tcBorders>
              <w:top w:val="nil"/>
              <w:left w:val="nil"/>
              <w:bottom w:val="nil"/>
              <w:right w:val="nil"/>
            </w:tcBorders>
            <w:shd w:val="clear" w:color="auto" w:fill="auto"/>
            <w:noWrap/>
            <w:hideMark/>
          </w:tcPr>
          <w:p w14:paraId="29A47AAB"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2,928 </w:t>
            </w:r>
          </w:p>
        </w:tc>
        <w:tc>
          <w:tcPr>
            <w:tcW w:w="1300" w:type="dxa"/>
            <w:tcBorders>
              <w:top w:val="nil"/>
              <w:left w:val="nil"/>
              <w:bottom w:val="nil"/>
              <w:right w:val="nil"/>
            </w:tcBorders>
            <w:shd w:val="clear" w:color="auto" w:fill="auto"/>
            <w:noWrap/>
            <w:hideMark/>
          </w:tcPr>
          <w:p w14:paraId="2602B3C3"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3,195 </w:t>
            </w:r>
          </w:p>
        </w:tc>
        <w:tc>
          <w:tcPr>
            <w:tcW w:w="1300" w:type="dxa"/>
            <w:tcBorders>
              <w:top w:val="nil"/>
              <w:left w:val="nil"/>
              <w:bottom w:val="nil"/>
              <w:right w:val="nil"/>
            </w:tcBorders>
            <w:shd w:val="clear" w:color="auto" w:fill="auto"/>
            <w:noWrap/>
            <w:hideMark/>
          </w:tcPr>
          <w:p w14:paraId="50B6F7D0"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3,276 </w:t>
            </w:r>
          </w:p>
        </w:tc>
        <w:tc>
          <w:tcPr>
            <w:tcW w:w="1300" w:type="dxa"/>
            <w:tcBorders>
              <w:top w:val="nil"/>
              <w:left w:val="nil"/>
              <w:bottom w:val="nil"/>
              <w:right w:val="nil"/>
            </w:tcBorders>
            <w:shd w:val="clear" w:color="auto" w:fill="auto"/>
            <w:noWrap/>
            <w:hideMark/>
          </w:tcPr>
          <w:p w14:paraId="164DB457"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3,325 </w:t>
            </w:r>
          </w:p>
        </w:tc>
      </w:tr>
      <w:tr w:rsidR="00644AB7" w:rsidRPr="00644AB7" w14:paraId="2DA14E71" w14:textId="77777777" w:rsidTr="00644AB7">
        <w:trPr>
          <w:trHeight w:val="300"/>
        </w:trPr>
        <w:tc>
          <w:tcPr>
            <w:tcW w:w="3800" w:type="dxa"/>
            <w:tcBorders>
              <w:top w:val="nil"/>
              <w:left w:val="nil"/>
              <w:bottom w:val="nil"/>
              <w:right w:val="nil"/>
            </w:tcBorders>
            <w:shd w:val="clear" w:color="auto" w:fill="auto"/>
            <w:noWrap/>
            <w:hideMark/>
          </w:tcPr>
          <w:p w14:paraId="757D1058" w14:textId="77777777" w:rsidR="00644AB7" w:rsidRPr="00B35816" w:rsidRDefault="00644AB7" w:rsidP="00644AB7">
            <w:pPr>
              <w:jc w:val="left"/>
              <w:rPr>
                <w:rFonts w:cs="Arial"/>
                <w:color w:val="000000"/>
                <w:sz w:val="24"/>
                <w:szCs w:val="24"/>
              </w:rPr>
            </w:pPr>
            <w:r w:rsidRPr="00B35816">
              <w:rPr>
                <w:rFonts w:cs="Arial"/>
                <w:color w:val="000000"/>
                <w:sz w:val="24"/>
                <w:szCs w:val="24"/>
              </w:rPr>
              <w:t>Head of Health &amp; Communities</w:t>
            </w:r>
          </w:p>
        </w:tc>
        <w:tc>
          <w:tcPr>
            <w:tcW w:w="1180" w:type="dxa"/>
            <w:tcBorders>
              <w:top w:val="nil"/>
              <w:left w:val="nil"/>
              <w:bottom w:val="nil"/>
              <w:right w:val="nil"/>
            </w:tcBorders>
            <w:shd w:val="clear" w:color="auto" w:fill="auto"/>
            <w:noWrap/>
            <w:hideMark/>
          </w:tcPr>
          <w:p w14:paraId="59E904F7" w14:textId="77777777" w:rsidR="00644AB7" w:rsidRPr="00B35816" w:rsidRDefault="00644AB7" w:rsidP="00644AB7">
            <w:pPr>
              <w:jc w:val="right"/>
              <w:rPr>
                <w:rFonts w:cs="Arial"/>
                <w:color w:val="000000"/>
                <w:sz w:val="24"/>
                <w:szCs w:val="24"/>
              </w:rPr>
            </w:pPr>
            <w:r w:rsidRPr="00B35816">
              <w:rPr>
                <w:rFonts w:cs="Arial"/>
                <w:color w:val="000000"/>
                <w:sz w:val="24"/>
                <w:szCs w:val="24"/>
              </w:rPr>
              <w:t xml:space="preserve">4,451 </w:t>
            </w:r>
          </w:p>
        </w:tc>
        <w:tc>
          <w:tcPr>
            <w:tcW w:w="1300" w:type="dxa"/>
            <w:tcBorders>
              <w:top w:val="nil"/>
              <w:left w:val="nil"/>
              <w:bottom w:val="nil"/>
              <w:right w:val="nil"/>
            </w:tcBorders>
            <w:shd w:val="clear" w:color="auto" w:fill="auto"/>
            <w:noWrap/>
            <w:hideMark/>
          </w:tcPr>
          <w:p w14:paraId="5B706174" w14:textId="77777777" w:rsidR="00644AB7" w:rsidRPr="00B35816" w:rsidRDefault="00644AB7" w:rsidP="00644AB7">
            <w:pPr>
              <w:jc w:val="right"/>
              <w:rPr>
                <w:rFonts w:cs="Arial"/>
                <w:color w:val="000000"/>
                <w:sz w:val="24"/>
                <w:szCs w:val="24"/>
              </w:rPr>
            </w:pPr>
            <w:r w:rsidRPr="00B35816">
              <w:rPr>
                <w:rFonts w:cs="Arial"/>
                <w:color w:val="000000"/>
                <w:sz w:val="24"/>
                <w:szCs w:val="24"/>
              </w:rPr>
              <w:t xml:space="preserve">3,787 </w:t>
            </w:r>
          </w:p>
        </w:tc>
        <w:tc>
          <w:tcPr>
            <w:tcW w:w="1300" w:type="dxa"/>
            <w:tcBorders>
              <w:top w:val="nil"/>
              <w:left w:val="nil"/>
              <w:bottom w:val="nil"/>
              <w:right w:val="nil"/>
            </w:tcBorders>
            <w:shd w:val="clear" w:color="auto" w:fill="auto"/>
            <w:noWrap/>
            <w:hideMark/>
          </w:tcPr>
          <w:p w14:paraId="0157844C" w14:textId="77777777" w:rsidR="00644AB7" w:rsidRPr="00B35816" w:rsidRDefault="00644AB7" w:rsidP="00644AB7">
            <w:pPr>
              <w:jc w:val="right"/>
              <w:rPr>
                <w:rFonts w:cs="Arial"/>
                <w:color w:val="000000"/>
                <w:sz w:val="24"/>
                <w:szCs w:val="24"/>
              </w:rPr>
            </w:pPr>
            <w:r w:rsidRPr="00B35816">
              <w:rPr>
                <w:rFonts w:cs="Arial"/>
                <w:color w:val="000000"/>
                <w:sz w:val="24"/>
                <w:szCs w:val="24"/>
              </w:rPr>
              <w:t xml:space="preserve">3,848 </w:t>
            </w:r>
          </w:p>
        </w:tc>
        <w:tc>
          <w:tcPr>
            <w:tcW w:w="1300" w:type="dxa"/>
            <w:tcBorders>
              <w:top w:val="nil"/>
              <w:left w:val="nil"/>
              <w:bottom w:val="nil"/>
              <w:right w:val="nil"/>
            </w:tcBorders>
            <w:shd w:val="clear" w:color="auto" w:fill="auto"/>
            <w:noWrap/>
            <w:hideMark/>
          </w:tcPr>
          <w:p w14:paraId="157B1355" w14:textId="77777777" w:rsidR="00644AB7" w:rsidRPr="00644AB7" w:rsidRDefault="00644AB7" w:rsidP="00644AB7">
            <w:pPr>
              <w:jc w:val="right"/>
              <w:rPr>
                <w:rFonts w:cs="Arial"/>
                <w:color w:val="000000"/>
                <w:sz w:val="24"/>
                <w:szCs w:val="24"/>
              </w:rPr>
            </w:pPr>
            <w:r w:rsidRPr="00B35816">
              <w:rPr>
                <w:rFonts w:cs="Arial"/>
                <w:color w:val="000000"/>
                <w:sz w:val="24"/>
                <w:szCs w:val="24"/>
              </w:rPr>
              <w:t>3,911</w:t>
            </w:r>
            <w:r w:rsidRPr="00644AB7">
              <w:rPr>
                <w:rFonts w:cs="Arial"/>
                <w:color w:val="000000"/>
                <w:sz w:val="24"/>
                <w:szCs w:val="24"/>
              </w:rPr>
              <w:t xml:space="preserve"> </w:t>
            </w:r>
          </w:p>
        </w:tc>
      </w:tr>
      <w:tr w:rsidR="00644AB7" w:rsidRPr="00644AB7" w14:paraId="75EAEAB9" w14:textId="77777777" w:rsidTr="00644AB7">
        <w:trPr>
          <w:trHeight w:val="300"/>
        </w:trPr>
        <w:tc>
          <w:tcPr>
            <w:tcW w:w="3800" w:type="dxa"/>
            <w:tcBorders>
              <w:top w:val="nil"/>
              <w:left w:val="nil"/>
              <w:bottom w:val="nil"/>
              <w:right w:val="nil"/>
            </w:tcBorders>
            <w:shd w:val="clear" w:color="auto" w:fill="auto"/>
            <w:noWrap/>
            <w:hideMark/>
          </w:tcPr>
          <w:p w14:paraId="204B0AA0" w14:textId="77777777" w:rsidR="00644AB7" w:rsidRPr="00B35816" w:rsidRDefault="00644AB7" w:rsidP="00644AB7">
            <w:pPr>
              <w:jc w:val="left"/>
              <w:rPr>
                <w:rFonts w:cs="Arial"/>
                <w:color w:val="000000"/>
                <w:sz w:val="24"/>
                <w:szCs w:val="24"/>
              </w:rPr>
            </w:pPr>
            <w:r w:rsidRPr="00B35816">
              <w:rPr>
                <w:rFonts w:cs="Arial"/>
                <w:color w:val="000000"/>
                <w:sz w:val="24"/>
                <w:szCs w:val="24"/>
              </w:rPr>
              <w:t>Head of Finance</w:t>
            </w:r>
          </w:p>
        </w:tc>
        <w:tc>
          <w:tcPr>
            <w:tcW w:w="1180" w:type="dxa"/>
            <w:tcBorders>
              <w:top w:val="nil"/>
              <w:left w:val="nil"/>
              <w:bottom w:val="nil"/>
              <w:right w:val="nil"/>
            </w:tcBorders>
            <w:shd w:val="clear" w:color="auto" w:fill="auto"/>
            <w:noWrap/>
            <w:hideMark/>
          </w:tcPr>
          <w:p w14:paraId="79E3557B" w14:textId="77777777" w:rsidR="00644AB7" w:rsidRPr="00644AB7" w:rsidRDefault="00644AB7" w:rsidP="00644AB7">
            <w:pPr>
              <w:jc w:val="right"/>
              <w:rPr>
                <w:rFonts w:cs="Arial"/>
                <w:color w:val="000000"/>
                <w:sz w:val="24"/>
                <w:szCs w:val="24"/>
              </w:rPr>
            </w:pPr>
            <w:r w:rsidRPr="00644AB7">
              <w:rPr>
                <w:rFonts w:cs="Arial"/>
                <w:color w:val="000000"/>
                <w:sz w:val="24"/>
                <w:szCs w:val="24"/>
              </w:rPr>
              <w:t>(795)</w:t>
            </w:r>
          </w:p>
        </w:tc>
        <w:tc>
          <w:tcPr>
            <w:tcW w:w="1300" w:type="dxa"/>
            <w:tcBorders>
              <w:top w:val="nil"/>
              <w:left w:val="nil"/>
              <w:bottom w:val="nil"/>
              <w:right w:val="nil"/>
            </w:tcBorders>
            <w:shd w:val="clear" w:color="auto" w:fill="auto"/>
            <w:noWrap/>
            <w:hideMark/>
          </w:tcPr>
          <w:p w14:paraId="21533E78"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429 </w:t>
            </w:r>
          </w:p>
        </w:tc>
        <w:tc>
          <w:tcPr>
            <w:tcW w:w="1300" w:type="dxa"/>
            <w:tcBorders>
              <w:top w:val="nil"/>
              <w:left w:val="nil"/>
              <w:bottom w:val="nil"/>
              <w:right w:val="nil"/>
            </w:tcBorders>
            <w:shd w:val="clear" w:color="auto" w:fill="auto"/>
            <w:noWrap/>
            <w:hideMark/>
          </w:tcPr>
          <w:p w14:paraId="11903752"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454 </w:t>
            </w:r>
          </w:p>
        </w:tc>
        <w:tc>
          <w:tcPr>
            <w:tcW w:w="1300" w:type="dxa"/>
            <w:tcBorders>
              <w:top w:val="nil"/>
              <w:left w:val="nil"/>
              <w:bottom w:val="nil"/>
              <w:right w:val="nil"/>
            </w:tcBorders>
            <w:shd w:val="clear" w:color="auto" w:fill="auto"/>
            <w:noWrap/>
            <w:hideMark/>
          </w:tcPr>
          <w:p w14:paraId="64A70154"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480 </w:t>
            </w:r>
          </w:p>
        </w:tc>
      </w:tr>
      <w:tr w:rsidR="00644AB7" w:rsidRPr="00644AB7" w14:paraId="2FE9F16B" w14:textId="77777777" w:rsidTr="00644AB7">
        <w:trPr>
          <w:trHeight w:val="300"/>
        </w:trPr>
        <w:tc>
          <w:tcPr>
            <w:tcW w:w="3800" w:type="dxa"/>
            <w:tcBorders>
              <w:top w:val="nil"/>
              <w:left w:val="nil"/>
              <w:bottom w:val="nil"/>
              <w:right w:val="nil"/>
            </w:tcBorders>
            <w:shd w:val="clear" w:color="auto" w:fill="auto"/>
            <w:noWrap/>
            <w:hideMark/>
          </w:tcPr>
          <w:p w14:paraId="503BBB09" w14:textId="77777777" w:rsidR="00644AB7" w:rsidRPr="00B35816" w:rsidRDefault="00644AB7" w:rsidP="00644AB7">
            <w:pPr>
              <w:jc w:val="left"/>
              <w:rPr>
                <w:rFonts w:cs="Arial"/>
                <w:color w:val="000000"/>
                <w:sz w:val="24"/>
                <w:szCs w:val="24"/>
              </w:rPr>
            </w:pPr>
            <w:r w:rsidRPr="00B35816">
              <w:rPr>
                <w:rFonts w:cs="Arial"/>
                <w:color w:val="000000"/>
                <w:sz w:val="24"/>
                <w:szCs w:val="24"/>
              </w:rPr>
              <w:t>Head of Housing</w:t>
            </w:r>
          </w:p>
        </w:tc>
        <w:tc>
          <w:tcPr>
            <w:tcW w:w="1180" w:type="dxa"/>
            <w:tcBorders>
              <w:top w:val="nil"/>
              <w:left w:val="nil"/>
              <w:bottom w:val="nil"/>
              <w:right w:val="nil"/>
            </w:tcBorders>
            <w:shd w:val="clear" w:color="auto" w:fill="auto"/>
            <w:noWrap/>
            <w:hideMark/>
          </w:tcPr>
          <w:p w14:paraId="1E831D9D"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882 </w:t>
            </w:r>
          </w:p>
        </w:tc>
        <w:tc>
          <w:tcPr>
            <w:tcW w:w="1300" w:type="dxa"/>
            <w:tcBorders>
              <w:top w:val="nil"/>
              <w:left w:val="nil"/>
              <w:bottom w:val="nil"/>
              <w:right w:val="nil"/>
            </w:tcBorders>
            <w:shd w:val="clear" w:color="auto" w:fill="auto"/>
            <w:noWrap/>
            <w:hideMark/>
          </w:tcPr>
          <w:p w14:paraId="2713E59B"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898 </w:t>
            </w:r>
          </w:p>
        </w:tc>
        <w:tc>
          <w:tcPr>
            <w:tcW w:w="1300" w:type="dxa"/>
            <w:tcBorders>
              <w:top w:val="nil"/>
              <w:left w:val="nil"/>
              <w:bottom w:val="nil"/>
              <w:right w:val="nil"/>
            </w:tcBorders>
            <w:shd w:val="clear" w:color="auto" w:fill="auto"/>
            <w:noWrap/>
            <w:hideMark/>
          </w:tcPr>
          <w:p w14:paraId="415C2F6B"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908 </w:t>
            </w:r>
          </w:p>
        </w:tc>
        <w:tc>
          <w:tcPr>
            <w:tcW w:w="1300" w:type="dxa"/>
            <w:tcBorders>
              <w:top w:val="nil"/>
              <w:left w:val="nil"/>
              <w:bottom w:val="nil"/>
              <w:right w:val="nil"/>
            </w:tcBorders>
            <w:shd w:val="clear" w:color="auto" w:fill="auto"/>
            <w:noWrap/>
            <w:hideMark/>
          </w:tcPr>
          <w:p w14:paraId="0893F9FC"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916 </w:t>
            </w:r>
          </w:p>
        </w:tc>
      </w:tr>
      <w:tr w:rsidR="00644AB7" w:rsidRPr="00644AB7" w14:paraId="6E63FFF3" w14:textId="77777777" w:rsidTr="00B35816">
        <w:trPr>
          <w:trHeight w:val="300"/>
        </w:trPr>
        <w:tc>
          <w:tcPr>
            <w:tcW w:w="3800" w:type="dxa"/>
            <w:tcBorders>
              <w:top w:val="nil"/>
              <w:left w:val="nil"/>
              <w:bottom w:val="nil"/>
              <w:right w:val="nil"/>
            </w:tcBorders>
            <w:shd w:val="clear" w:color="auto" w:fill="auto"/>
            <w:noWrap/>
            <w:hideMark/>
          </w:tcPr>
          <w:p w14:paraId="3CDF6A8A" w14:textId="77777777" w:rsidR="00644AB7" w:rsidRPr="00B35816" w:rsidRDefault="00644AB7" w:rsidP="00644AB7">
            <w:pPr>
              <w:jc w:val="left"/>
              <w:rPr>
                <w:rFonts w:cs="Arial"/>
                <w:color w:val="000000"/>
                <w:sz w:val="24"/>
                <w:szCs w:val="24"/>
              </w:rPr>
            </w:pPr>
            <w:r w:rsidRPr="00B35816">
              <w:rPr>
                <w:rFonts w:cs="Arial"/>
                <w:color w:val="000000"/>
                <w:sz w:val="24"/>
                <w:szCs w:val="24"/>
              </w:rPr>
              <w:t>Head of Law &amp; Governance</w:t>
            </w:r>
          </w:p>
        </w:tc>
        <w:tc>
          <w:tcPr>
            <w:tcW w:w="1180" w:type="dxa"/>
            <w:tcBorders>
              <w:top w:val="nil"/>
              <w:left w:val="nil"/>
              <w:bottom w:val="nil"/>
              <w:right w:val="nil"/>
            </w:tcBorders>
            <w:shd w:val="clear" w:color="auto" w:fill="auto"/>
            <w:noWrap/>
            <w:hideMark/>
          </w:tcPr>
          <w:p w14:paraId="620713B6"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2,748 </w:t>
            </w:r>
          </w:p>
        </w:tc>
        <w:tc>
          <w:tcPr>
            <w:tcW w:w="1300" w:type="dxa"/>
            <w:tcBorders>
              <w:top w:val="nil"/>
              <w:left w:val="nil"/>
              <w:bottom w:val="nil"/>
              <w:right w:val="nil"/>
            </w:tcBorders>
            <w:shd w:val="clear" w:color="auto" w:fill="auto"/>
            <w:noWrap/>
            <w:hideMark/>
          </w:tcPr>
          <w:p w14:paraId="448C1651"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2,737 </w:t>
            </w:r>
          </w:p>
        </w:tc>
        <w:tc>
          <w:tcPr>
            <w:tcW w:w="1300" w:type="dxa"/>
            <w:tcBorders>
              <w:top w:val="nil"/>
              <w:left w:val="nil"/>
              <w:bottom w:val="nil"/>
              <w:right w:val="nil"/>
            </w:tcBorders>
            <w:shd w:val="clear" w:color="auto" w:fill="auto"/>
            <w:noWrap/>
            <w:hideMark/>
          </w:tcPr>
          <w:p w14:paraId="4D40FC2A"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2,797 </w:t>
            </w:r>
          </w:p>
        </w:tc>
        <w:tc>
          <w:tcPr>
            <w:tcW w:w="1300" w:type="dxa"/>
            <w:tcBorders>
              <w:top w:val="nil"/>
              <w:left w:val="nil"/>
              <w:bottom w:val="nil"/>
              <w:right w:val="nil"/>
            </w:tcBorders>
            <w:shd w:val="clear" w:color="auto" w:fill="auto"/>
            <w:noWrap/>
            <w:hideMark/>
          </w:tcPr>
          <w:p w14:paraId="5116AFD3"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2,843 </w:t>
            </w:r>
          </w:p>
        </w:tc>
      </w:tr>
      <w:tr w:rsidR="00644AB7" w:rsidRPr="00644AB7" w14:paraId="12E8EFC5" w14:textId="77777777" w:rsidTr="00B35816">
        <w:trPr>
          <w:trHeight w:val="300"/>
        </w:trPr>
        <w:tc>
          <w:tcPr>
            <w:tcW w:w="3800" w:type="dxa"/>
            <w:tcBorders>
              <w:top w:val="nil"/>
              <w:left w:val="nil"/>
              <w:bottom w:val="nil"/>
              <w:right w:val="nil"/>
            </w:tcBorders>
            <w:shd w:val="clear" w:color="auto" w:fill="auto"/>
            <w:noWrap/>
            <w:hideMark/>
          </w:tcPr>
          <w:p w14:paraId="0D5F065D" w14:textId="77777777" w:rsidR="00644AB7" w:rsidRPr="00B35816" w:rsidRDefault="00644AB7" w:rsidP="00644AB7">
            <w:pPr>
              <w:jc w:val="left"/>
              <w:rPr>
                <w:rFonts w:cs="Arial"/>
                <w:color w:val="000000"/>
                <w:sz w:val="24"/>
                <w:szCs w:val="24"/>
              </w:rPr>
            </w:pPr>
            <w:r w:rsidRPr="00B35816">
              <w:rPr>
                <w:rFonts w:cs="Arial"/>
                <w:color w:val="000000"/>
                <w:sz w:val="24"/>
                <w:szCs w:val="24"/>
              </w:rPr>
              <w:t xml:space="preserve">Head of </w:t>
            </w:r>
            <w:proofErr w:type="spellStart"/>
            <w:r w:rsidRPr="00B35816">
              <w:rPr>
                <w:rFonts w:cs="Arial"/>
                <w:color w:val="000000"/>
                <w:sz w:val="24"/>
                <w:szCs w:val="24"/>
              </w:rPr>
              <w:t>Neigbourhood</w:t>
            </w:r>
            <w:proofErr w:type="spellEnd"/>
            <w:r w:rsidRPr="00B35816">
              <w:rPr>
                <w:rFonts w:cs="Arial"/>
                <w:color w:val="000000"/>
                <w:sz w:val="24"/>
                <w:szCs w:val="24"/>
              </w:rPr>
              <w:t xml:space="preserve"> Services</w:t>
            </w:r>
          </w:p>
        </w:tc>
        <w:tc>
          <w:tcPr>
            <w:tcW w:w="1180" w:type="dxa"/>
            <w:tcBorders>
              <w:top w:val="nil"/>
              <w:left w:val="nil"/>
              <w:bottom w:val="nil"/>
              <w:right w:val="nil"/>
            </w:tcBorders>
            <w:shd w:val="clear" w:color="auto" w:fill="auto"/>
            <w:noWrap/>
            <w:hideMark/>
          </w:tcPr>
          <w:p w14:paraId="1183E5A5"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4,561 </w:t>
            </w:r>
          </w:p>
        </w:tc>
        <w:tc>
          <w:tcPr>
            <w:tcW w:w="1300" w:type="dxa"/>
            <w:tcBorders>
              <w:top w:val="nil"/>
              <w:left w:val="nil"/>
              <w:bottom w:val="nil"/>
              <w:right w:val="nil"/>
            </w:tcBorders>
            <w:shd w:val="clear" w:color="auto" w:fill="auto"/>
            <w:noWrap/>
            <w:hideMark/>
          </w:tcPr>
          <w:p w14:paraId="0C0DA5D7"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3,756 </w:t>
            </w:r>
          </w:p>
        </w:tc>
        <w:tc>
          <w:tcPr>
            <w:tcW w:w="1300" w:type="dxa"/>
            <w:tcBorders>
              <w:top w:val="nil"/>
              <w:left w:val="nil"/>
              <w:bottom w:val="nil"/>
              <w:right w:val="nil"/>
            </w:tcBorders>
            <w:shd w:val="clear" w:color="auto" w:fill="auto"/>
            <w:noWrap/>
            <w:hideMark/>
          </w:tcPr>
          <w:p w14:paraId="029FD3BE"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3,808 </w:t>
            </w:r>
          </w:p>
        </w:tc>
        <w:tc>
          <w:tcPr>
            <w:tcW w:w="1300" w:type="dxa"/>
            <w:tcBorders>
              <w:top w:val="nil"/>
              <w:left w:val="nil"/>
              <w:bottom w:val="nil"/>
              <w:right w:val="nil"/>
            </w:tcBorders>
            <w:shd w:val="clear" w:color="auto" w:fill="auto"/>
            <w:noWrap/>
            <w:hideMark/>
          </w:tcPr>
          <w:p w14:paraId="488AE110"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3,849 </w:t>
            </w:r>
          </w:p>
        </w:tc>
      </w:tr>
      <w:tr w:rsidR="00644AB7" w:rsidRPr="00644AB7" w14:paraId="494F8644" w14:textId="77777777" w:rsidTr="00644AB7">
        <w:trPr>
          <w:trHeight w:val="300"/>
        </w:trPr>
        <w:tc>
          <w:tcPr>
            <w:tcW w:w="3800" w:type="dxa"/>
            <w:tcBorders>
              <w:top w:val="nil"/>
              <w:left w:val="nil"/>
              <w:bottom w:val="nil"/>
              <w:right w:val="nil"/>
            </w:tcBorders>
            <w:shd w:val="clear" w:color="auto" w:fill="auto"/>
            <w:noWrap/>
            <w:hideMark/>
          </w:tcPr>
          <w:p w14:paraId="0D431197" w14:textId="77777777" w:rsidR="00644AB7" w:rsidRPr="00B35816" w:rsidRDefault="00644AB7" w:rsidP="00644AB7">
            <w:pPr>
              <w:jc w:val="left"/>
              <w:rPr>
                <w:rFonts w:cs="Arial"/>
                <w:color w:val="000000"/>
                <w:sz w:val="24"/>
                <w:szCs w:val="24"/>
              </w:rPr>
            </w:pPr>
            <w:r w:rsidRPr="00B35816">
              <w:rPr>
                <w:rFonts w:cs="Arial"/>
                <w:color w:val="000000"/>
                <w:sz w:val="24"/>
                <w:szCs w:val="24"/>
              </w:rPr>
              <w:t>Head of Planning &amp;Regeneration</w:t>
            </w:r>
          </w:p>
        </w:tc>
        <w:tc>
          <w:tcPr>
            <w:tcW w:w="1180" w:type="dxa"/>
            <w:tcBorders>
              <w:top w:val="nil"/>
              <w:left w:val="nil"/>
              <w:bottom w:val="nil"/>
              <w:right w:val="nil"/>
            </w:tcBorders>
            <w:shd w:val="clear" w:color="auto" w:fill="auto"/>
            <w:noWrap/>
            <w:hideMark/>
          </w:tcPr>
          <w:p w14:paraId="61068A19"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67 </w:t>
            </w:r>
          </w:p>
        </w:tc>
        <w:tc>
          <w:tcPr>
            <w:tcW w:w="1300" w:type="dxa"/>
            <w:tcBorders>
              <w:top w:val="nil"/>
              <w:left w:val="nil"/>
              <w:bottom w:val="nil"/>
              <w:right w:val="nil"/>
            </w:tcBorders>
            <w:shd w:val="clear" w:color="auto" w:fill="auto"/>
            <w:noWrap/>
            <w:hideMark/>
          </w:tcPr>
          <w:p w14:paraId="52ECBC6B" w14:textId="77777777" w:rsidR="00644AB7" w:rsidRPr="00644AB7" w:rsidRDefault="00644AB7" w:rsidP="00644AB7">
            <w:pPr>
              <w:jc w:val="right"/>
              <w:rPr>
                <w:rFonts w:cs="Arial"/>
                <w:color w:val="000000"/>
                <w:sz w:val="24"/>
                <w:szCs w:val="24"/>
              </w:rPr>
            </w:pPr>
            <w:r w:rsidRPr="00644AB7">
              <w:rPr>
                <w:rFonts w:cs="Arial"/>
                <w:color w:val="000000"/>
                <w:sz w:val="24"/>
                <w:szCs w:val="24"/>
              </w:rPr>
              <w:t>(847)</w:t>
            </w:r>
          </w:p>
        </w:tc>
        <w:tc>
          <w:tcPr>
            <w:tcW w:w="1300" w:type="dxa"/>
            <w:tcBorders>
              <w:top w:val="nil"/>
              <w:left w:val="nil"/>
              <w:bottom w:val="nil"/>
              <w:right w:val="nil"/>
            </w:tcBorders>
            <w:shd w:val="clear" w:color="auto" w:fill="auto"/>
            <w:noWrap/>
            <w:hideMark/>
          </w:tcPr>
          <w:p w14:paraId="5F053ED1" w14:textId="77777777" w:rsidR="00644AB7" w:rsidRPr="00644AB7" w:rsidRDefault="00644AB7" w:rsidP="00644AB7">
            <w:pPr>
              <w:jc w:val="right"/>
              <w:rPr>
                <w:rFonts w:cs="Arial"/>
                <w:color w:val="000000"/>
                <w:sz w:val="24"/>
                <w:szCs w:val="24"/>
              </w:rPr>
            </w:pPr>
            <w:r w:rsidRPr="00644AB7">
              <w:rPr>
                <w:rFonts w:cs="Arial"/>
                <w:color w:val="000000"/>
                <w:sz w:val="24"/>
                <w:szCs w:val="24"/>
              </w:rPr>
              <w:t>(804)</w:t>
            </w:r>
          </w:p>
        </w:tc>
        <w:tc>
          <w:tcPr>
            <w:tcW w:w="1300" w:type="dxa"/>
            <w:tcBorders>
              <w:top w:val="nil"/>
              <w:left w:val="nil"/>
              <w:bottom w:val="nil"/>
              <w:right w:val="nil"/>
            </w:tcBorders>
            <w:shd w:val="clear" w:color="auto" w:fill="auto"/>
            <w:noWrap/>
            <w:hideMark/>
          </w:tcPr>
          <w:p w14:paraId="6747D1FB" w14:textId="77777777" w:rsidR="00644AB7" w:rsidRPr="00644AB7" w:rsidRDefault="00644AB7" w:rsidP="00644AB7">
            <w:pPr>
              <w:jc w:val="right"/>
              <w:rPr>
                <w:rFonts w:cs="Arial"/>
                <w:color w:val="000000"/>
                <w:sz w:val="24"/>
                <w:szCs w:val="24"/>
              </w:rPr>
            </w:pPr>
            <w:r w:rsidRPr="00644AB7">
              <w:rPr>
                <w:rFonts w:cs="Arial"/>
                <w:color w:val="000000"/>
                <w:sz w:val="24"/>
                <w:szCs w:val="24"/>
              </w:rPr>
              <w:t>(804)</w:t>
            </w:r>
          </w:p>
        </w:tc>
      </w:tr>
      <w:tr w:rsidR="00644AB7" w:rsidRPr="00644AB7" w14:paraId="4D01B36B" w14:textId="77777777" w:rsidTr="00644AB7">
        <w:trPr>
          <w:trHeight w:val="300"/>
        </w:trPr>
        <w:tc>
          <w:tcPr>
            <w:tcW w:w="3800" w:type="dxa"/>
            <w:tcBorders>
              <w:top w:val="nil"/>
              <w:left w:val="nil"/>
              <w:bottom w:val="nil"/>
              <w:right w:val="nil"/>
            </w:tcBorders>
            <w:shd w:val="clear" w:color="auto" w:fill="auto"/>
            <w:noWrap/>
            <w:hideMark/>
          </w:tcPr>
          <w:p w14:paraId="0ADEB0C1" w14:textId="77777777" w:rsidR="00644AB7" w:rsidRPr="00B35816" w:rsidRDefault="00644AB7" w:rsidP="00644AB7">
            <w:pPr>
              <w:jc w:val="left"/>
              <w:rPr>
                <w:rFonts w:cs="Arial"/>
                <w:color w:val="000000"/>
                <w:sz w:val="24"/>
                <w:szCs w:val="24"/>
              </w:rPr>
            </w:pPr>
            <w:r w:rsidRPr="00B35816">
              <w:rPr>
                <w:rFonts w:cs="Arial"/>
                <w:color w:val="000000"/>
                <w:sz w:val="24"/>
                <w:szCs w:val="24"/>
              </w:rPr>
              <w:t>Corporate Transformation Savings</w:t>
            </w:r>
          </w:p>
        </w:tc>
        <w:tc>
          <w:tcPr>
            <w:tcW w:w="1180" w:type="dxa"/>
            <w:tcBorders>
              <w:top w:val="nil"/>
              <w:left w:val="nil"/>
              <w:bottom w:val="nil"/>
              <w:right w:val="nil"/>
            </w:tcBorders>
            <w:shd w:val="clear" w:color="auto" w:fill="auto"/>
            <w:noWrap/>
            <w:hideMark/>
          </w:tcPr>
          <w:p w14:paraId="1C2F8B9F" w14:textId="77777777" w:rsidR="00644AB7" w:rsidRPr="00644AB7" w:rsidRDefault="00644AB7" w:rsidP="00644AB7">
            <w:pPr>
              <w:jc w:val="right"/>
              <w:rPr>
                <w:rFonts w:cs="Arial"/>
                <w:color w:val="000000"/>
                <w:sz w:val="24"/>
                <w:szCs w:val="24"/>
              </w:rPr>
            </w:pPr>
            <w:r w:rsidRPr="00644AB7">
              <w:rPr>
                <w:rFonts w:cs="Arial"/>
                <w:color w:val="000000"/>
                <w:sz w:val="24"/>
                <w:szCs w:val="24"/>
              </w:rPr>
              <w:t>(1,497)</w:t>
            </w:r>
          </w:p>
        </w:tc>
        <w:tc>
          <w:tcPr>
            <w:tcW w:w="1300" w:type="dxa"/>
            <w:tcBorders>
              <w:top w:val="nil"/>
              <w:left w:val="nil"/>
              <w:bottom w:val="nil"/>
              <w:right w:val="nil"/>
            </w:tcBorders>
            <w:shd w:val="clear" w:color="auto" w:fill="auto"/>
            <w:noWrap/>
            <w:hideMark/>
          </w:tcPr>
          <w:p w14:paraId="670C0C61" w14:textId="77777777" w:rsidR="00644AB7" w:rsidRPr="00644AB7" w:rsidRDefault="00644AB7" w:rsidP="00644AB7">
            <w:pPr>
              <w:jc w:val="right"/>
              <w:rPr>
                <w:rFonts w:cs="Arial"/>
                <w:color w:val="000000"/>
                <w:sz w:val="24"/>
                <w:szCs w:val="24"/>
              </w:rPr>
            </w:pPr>
            <w:r w:rsidRPr="00644AB7">
              <w:rPr>
                <w:rFonts w:cs="Arial"/>
                <w:color w:val="000000"/>
                <w:sz w:val="24"/>
                <w:szCs w:val="24"/>
              </w:rPr>
              <w:t>(1,922)</w:t>
            </w:r>
          </w:p>
        </w:tc>
        <w:tc>
          <w:tcPr>
            <w:tcW w:w="1300" w:type="dxa"/>
            <w:tcBorders>
              <w:top w:val="nil"/>
              <w:left w:val="nil"/>
              <w:bottom w:val="nil"/>
              <w:right w:val="nil"/>
            </w:tcBorders>
            <w:shd w:val="clear" w:color="auto" w:fill="auto"/>
            <w:noWrap/>
            <w:hideMark/>
          </w:tcPr>
          <w:p w14:paraId="5443D93A" w14:textId="77777777" w:rsidR="00644AB7" w:rsidRPr="00644AB7" w:rsidRDefault="00644AB7" w:rsidP="00644AB7">
            <w:pPr>
              <w:jc w:val="right"/>
              <w:rPr>
                <w:rFonts w:cs="Arial"/>
                <w:color w:val="000000"/>
                <w:sz w:val="24"/>
                <w:szCs w:val="24"/>
              </w:rPr>
            </w:pPr>
            <w:r w:rsidRPr="00644AB7">
              <w:rPr>
                <w:rFonts w:cs="Arial"/>
                <w:color w:val="000000"/>
                <w:sz w:val="24"/>
                <w:szCs w:val="24"/>
              </w:rPr>
              <w:t>(1,900)</w:t>
            </w:r>
          </w:p>
        </w:tc>
        <w:tc>
          <w:tcPr>
            <w:tcW w:w="1300" w:type="dxa"/>
            <w:tcBorders>
              <w:top w:val="nil"/>
              <w:left w:val="nil"/>
              <w:bottom w:val="nil"/>
              <w:right w:val="nil"/>
            </w:tcBorders>
            <w:shd w:val="clear" w:color="auto" w:fill="auto"/>
            <w:noWrap/>
            <w:hideMark/>
          </w:tcPr>
          <w:p w14:paraId="49F166CD" w14:textId="77777777" w:rsidR="00644AB7" w:rsidRPr="00644AB7" w:rsidRDefault="00644AB7" w:rsidP="00644AB7">
            <w:pPr>
              <w:jc w:val="right"/>
              <w:rPr>
                <w:rFonts w:cs="Arial"/>
                <w:color w:val="000000"/>
                <w:sz w:val="24"/>
                <w:szCs w:val="24"/>
              </w:rPr>
            </w:pPr>
            <w:r w:rsidRPr="00644AB7">
              <w:rPr>
                <w:rFonts w:cs="Arial"/>
                <w:color w:val="000000"/>
                <w:sz w:val="24"/>
                <w:szCs w:val="24"/>
              </w:rPr>
              <w:t>(1,897)</w:t>
            </w:r>
          </w:p>
        </w:tc>
      </w:tr>
      <w:tr w:rsidR="00644AB7" w:rsidRPr="00644AB7" w14:paraId="29EA8FBE" w14:textId="77777777" w:rsidTr="00B35816">
        <w:trPr>
          <w:trHeight w:val="300"/>
        </w:trPr>
        <w:tc>
          <w:tcPr>
            <w:tcW w:w="3800" w:type="dxa"/>
            <w:tcBorders>
              <w:top w:val="nil"/>
              <w:left w:val="nil"/>
              <w:bottom w:val="nil"/>
              <w:right w:val="nil"/>
            </w:tcBorders>
            <w:shd w:val="clear" w:color="auto" w:fill="auto"/>
            <w:noWrap/>
            <w:hideMark/>
          </w:tcPr>
          <w:p w14:paraId="554CEDC1" w14:textId="77777777" w:rsidR="00644AB7" w:rsidRPr="00B35816" w:rsidRDefault="00644AB7" w:rsidP="00644AB7">
            <w:pPr>
              <w:jc w:val="left"/>
              <w:rPr>
                <w:rFonts w:cs="Arial"/>
                <w:color w:val="000000"/>
                <w:sz w:val="24"/>
                <w:szCs w:val="24"/>
              </w:rPr>
            </w:pPr>
            <w:r w:rsidRPr="00B35816">
              <w:rPr>
                <w:rFonts w:cs="Arial"/>
                <w:color w:val="000000"/>
                <w:sz w:val="24"/>
                <w:szCs w:val="24"/>
              </w:rPr>
              <w:t>Corporate Saving - Pay Freeze</w:t>
            </w:r>
          </w:p>
        </w:tc>
        <w:tc>
          <w:tcPr>
            <w:tcW w:w="1180" w:type="dxa"/>
            <w:tcBorders>
              <w:top w:val="nil"/>
              <w:left w:val="nil"/>
              <w:bottom w:val="nil"/>
              <w:right w:val="nil"/>
            </w:tcBorders>
            <w:shd w:val="clear" w:color="auto" w:fill="auto"/>
            <w:noWrap/>
            <w:hideMark/>
          </w:tcPr>
          <w:p w14:paraId="0349F5CF"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0 </w:t>
            </w:r>
          </w:p>
        </w:tc>
        <w:tc>
          <w:tcPr>
            <w:tcW w:w="1300" w:type="dxa"/>
            <w:tcBorders>
              <w:top w:val="nil"/>
              <w:left w:val="nil"/>
              <w:bottom w:val="nil"/>
              <w:right w:val="nil"/>
            </w:tcBorders>
            <w:shd w:val="clear" w:color="auto" w:fill="auto"/>
            <w:noWrap/>
            <w:hideMark/>
          </w:tcPr>
          <w:p w14:paraId="4767C0DE" w14:textId="77777777" w:rsidR="00644AB7" w:rsidRPr="00644AB7" w:rsidRDefault="00644AB7" w:rsidP="00644AB7">
            <w:pPr>
              <w:jc w:val="right"/>
              <w:rPr>
                <w:rFonts w:cs="Arial"/>
                <w:color w:val="000000"/>
                <w:sz w:val="24"/>
                <w:szCs w:val="24"/>
              </w:rPr>
            </w:pPr>
            <w:r w:rsidRPr="00644AB7">
              <w:rPr>
                <w:rFonts w:cs="Arial"/>
                <w:color w:val="000000"/>
                <w:sz w:val="24"/>
                <w:szCs w:val="24"/>
              </w:rPr>
              <w:t>(217)</w:t>
            </w:r>
          </w:p>
        </w:tc>
        <w:tc>
          <w:tcPr>
            <w:tcW w:w="1300" w:type="dxa"/>
            <w:tcBorders>
              <w:top w:val="nil"/>
              <w:left w:val="nil"/>
              <w:bottom w:val="nil"/>
              <w:right w:val="nil"/>
            </w:tcBorders>
            <w:shd w:val="clear" w:color="auto" w:fill="auto"/>
            <w:noWrap/>
            <w:hideMark/>
          </w:tcPr>
          <w:p w14:paraId="725EE71B" w14:textId="77777777" w:rsidR="00644AB7" w:rsidRPr="00644AB7" w:rsidRDefault="00644AB7" w:rsidP="00644AB7">
            <w:pPr>
              <w:jc w:val="right"/>
              <w:rPr>
                <w:rFonts w:cs="Arial"/>
                <w:color w:val="000000"/>
                <w:sz w:val="24"/>
                <w:szCs w:val="24"/>
              </w:rPr>
            </w:pPr>
            <w:r w:rsidRPr="00644AB7">
              <w:rPr>
                <w:rFonts w:cs="Arial"/>
                <w:color w:val="000000"/>
                <w:sz w:val="24"/>
                <w:szCs w:val="24"/>
              </w:rPr>
              <w:t>(217)</w:t>
            </w:r>
          </w:p>
        </w:tc>
        <w:tc>
          <w:tcPr>
            <w:tcW w:w="1300" w:type="dxa"/>
            <w:tcBorders>
              <w:top w:val="nil"/>
              <w:left w:val="nil"/>
              <w:bottom w:val="nil"/>
              <w:right w:val="nil"/>
            </w:tcBorders>
            <w:shd w:val="clear" w:color="auto" w:fill="auto"/>
            <w:noWrap/>
            <w:hideMark/>
          </w:tcPr>
          <w:p w14:paraId="3DD4DB37" w14:textId="77777777" w:rsidR="00644AB7" w:rsidRPr="00644AB7" w:rsidRDefault="00644AB7" w:rsidP="00644AB7">
            <w:pPr>
              <w:jc w:val="right"/>
              <w:rPr>
                <w:rFonts w:cs="Arial"/>
                <w:color w:val="000000"/>
                <w:sz w:val="24"/>
                <w:szCs w:val="24"/>
              </w:rPr>
            </w:pPr>
            <w:r w:rsidRPr="00644AB7">
              <w:rPr>
                <w:rFonts w:cs="Arial"/>
                <w:color w:val="000000"/>
                <w:sz w:val="24"/>
                <w:szCs w:val="24"/>
              </w:rPr>
              <w:t>(217)</w:t>
            </w:r>
          </w:p>
        </w:tc>
      </w:tr>
      <w:tr w:rsidR="00644AB7" w:rsidRPr="00644AB7" w14:paraId="596AC32E" w14:textId="77777777" w:rsidTr="00644AB7">
        <w:trPr>
          <w:trHeight w:val="312"/>
        </w:trPr>
        <w:tc>
          <w:tcPr>
            <w:tcW w:w="3800" w:type="dxa"/>
            <w:tcBorders>
              <w:top w:val="nil"/>
              <w:left w:val="nil"/>
              <w:bottom w:val="nil"/>
              <w:right w:val="nil"/>
            </w:tcBorders>
            <w:shd w:val="clear" w:color="auto" w:fill="auto"/>
            <w:noWrap/>
            <w:hideMark/>
          </w:tcPr>
          <w:p w14:paraId="26993FCC" w14:textId="77777777" w:rsidR="00644AB7" w:rsidRPr="00644AB7" w:rsidRDefault="00644AB7" w:rsidP="00644AB7">
            <w:pPr>
              <w:jc w:val="right"/>
              <w:rPr>
                <w:rFonts w:cs="Arial"/>
                <w:color w:val="000000"/>
                <w:sz w:val="24"/>
                <w:szCs w:val="24"/>
              </w:rPr>
            </w:pPr>
          </w:p>
        </w:tc>
        <w:tc>
          <w:tcPr>
            <w:tcW w:w="1180" w:type="dxa"/>
            <w:tcBorders>
              <w:top w:val="nil"/>
              <w:left w:val="nil"/>
              <w:bottom w:val="nil"/>
              <w:right w:val="nil"/>
            </w:tcBorders>
            <w:shd w:val="clear" w:color="auto" w:fill="auto"/>
            <w:noWrap/>
            <w:hideMark/>
          </w:tcPr>
          <w:p w14:paraId="60312B6E" w14:textId="77777777" w:rsidR="00644AB7" w:rsidRPr="00644AB7" w:rsidRDefault="00644AB7" w:rsidP="00644AB7">
            <w:pPr>
              <w:jc w:val="right"/>
              <w:rPr>
                <w:rFonts w:cs="Arial"/>
                <w:b/>
                <w:bCs/>
                <w:color w:val="000000"/>
                <w:sz w:val="24"/>
                <w:szCs w:val="24"/>
              </w:rPr>
            </w:pPr>
            <w:r w:rsidRPr="00644AB7">
              <w:rPr>
                <w:rFonts w:cs="Arial"/>
                <w:b/>
                <w:bCs/>
                <w:color w:val="000000"/>
                <w:sz w:val="24"/>
                <w:szCs w:val="24"/>
              </w:rPr>
              <w:t xml:space="preserve">13,345 </w:t>
            </w:r>
          </w:p>
        </w:tc>
        <w:tc>
          <w:tcPr>
            <w:tcW w:w="1300" w:type="dxa"/>
            <w:tcBorders>
              <w:top w:val="nil"/>
              <w:left w:val="nil"/>
              <w:bottom w:val="nil"/>
              <w:right w:val="nil"/>
            </w:tcBorders>
            <w:shd w:val="clear" w:color="auto" w:fill="auto"/>
            <w:noWrap/>
            <w:hideMark/>
          </w:tcPr>
          <w:p w14:paraId="595C0F40" w14:textId="77777777" w:rsidR="00644AB7" w:rsidRPr="00644AB7" w:rsidRDefault="00644AB7" w:rsidP="00644AB7">
            <w:pPr>
              <w:jc w:val="right"/>
              <w:rPr>
                <w:rFonts w:cs="Arial"/>
                <w:b/>
                <w:bCs/>
                <w:color w:val="000000"/>
                <w:sz w:val="24"/>
                <w:szCs w:val="24"/>
              </w:rPr>
            </w:pPr>
            <w:r w:rsidRPr="00644AB7">
              <w:rPr>
                <w:rFonts w:cs="Arial"/>
                <w:b/>
                <w:bCs/>
                <w:color w:val="000000"/>
                <w:sz w:val="24"/>
                <w:szCs w:val="24"/>
              </w:rPr>
              <w:t xml:space="preserve">11,816 </w:t>
            </w:r>
          </w:p>
        </w:tc>
        <w:tc>
          <w:tcPr>
            <w:tcW w:w="1300" w:type="dxa"/>
            <w:tcBorders>
              <w:top w:val="nil"/>
              <w:left w:val="nil"/>
              <w:bottom w:val="nil"/>
              <w:right w:val="nil"/>
            </w:tcBorders>
            <w:shd w:val="clear" w:color="auto" w:fill="auto"/>
            <w:noWrap/>
            <w:hideMark/>
          </w:tcPr>
          <w:p w14:paraId="3BC1E07E" w14:textId="77777777" w:rsidR="00644AB7" w:rsidRPr="00644AB7" w:rsidRDefault="00644AB7" w:rsidP="00644AB7">
            <w:pPr>
              <w:jc w:val="right"/>
              <w:rPr>
                <w:rFonts w:cs="Arial"/>
                <w:b/>
                <w:bCs/>
                <w:color w:val="000000"/>
                <w:sz w:val="24"/>
                <w:szCs w:val="24"/>
              </w:rPr>
            </w:pPr>
            <w:r w:rsidRPr="00644AB7">
              <w:rPr>
                <w:rFonts w:cs="Arial"/>
                <w:b/>
                <w:bCs/>
                <w:color w:val="000000"/>
                <w:sz w:val="24"/>
                <w:szCs w:val="24"/>
              </w:rPr>
              <w:t xml:space="preserve">12,170 </w:t>
            </w:r>
          </w:p>
        </w:tc>
        <w:tc>
          <w:tcPr>
            <w:tcW w:w="1300" w:type="dxa"/>
            <w:tcBorders>
              <w:top w:val="nil"/>
              <w:left w:val="nil"/>
              <w:bottom w:val="nil"/>
              <w:right w:val="nil"/>
            </w:tcBorders>
            <w:shd w:val="clear" w:color="auto" w:fill="auto"/>
            <w:noWrap/>
            <w:hideMark/>
          </w:tcPr>
          <w:p w14:paraId="17CE1E3D" w14:textId="77777777" w:rsidR="00644AB7" w:rsidRPr="00644AB7" w:rsidRDefault="00644AB7" w:rsidP="00644AB7">
            <w:pPr>
              <w:jc w:val="right"/>
              <w:rPr>
                <w:rFonts w:cs="Arial"/>
                <w:b/>
                <w:bCs/>
                <w:color w:val="000000"/>
                <w:sz w:val="24"/>
                <w:szCs w:val="24"/>
              </w:rPr>
            </w:pPr>
            <w:r w:rsidRPr="00644AB7">
              <w:rPr>
                <w:rFonts w:cs="Arial"/>
                <w:b/>
                <w:bCs/>
                <w:color w:val="000000"/>
                <w:sz w:val="24"/>
                <w:szCs w:val="24"/>
              </w:rPr>
              <w:t xml:space="preserve">12,406 </w:t>
            </w:r>
          </w:p>
        </w:tc>
      </w:tr>
      <w:tr w:rsidR="00644AB7" w:rsidRPr="00644AB7" w14:paraId="224ED8CC" w14:textId="77777777" w:rsidTr="00644AB7">
        <w:trPr>
          <w:trHeight w:val="300"/>
        </w:trPr>
        <w:tc>
          <w:tcPr>
            <w:tcW w:w="3800" w:type="dxa"/>
            <w:tcBorders>
              <w:top w:val="nil"/>
              <w:left w:val="nil"/>
              <w:bottom w:val="nil"/>
              <w:right w:val="nil"/>
            </w:tcBorders>
            <w:shd w:val="clear" w:color="auto" w:fill="auto"/>
            <w:noWrap/>
            <w:hideMark/>
          </w:tcPr>
          <w:p w14:paraId="6FCE9E50" w14:textId="77777777" w:rsidR="00644AB7" w:rsidRPr="00644AB7" w:rsidRDefault="00644AB7" w:rsidP="00644AB7">
            <w:pPr>
              <w:jc w:val="right"/>
              <w:rPr>
                <w:rFonts w:cs="Arial"/>
                <w:b/>
                <w:bCs/>
                <w:color w:val="000000"/>
                <w:sz w:val="24"/>
                <w:szCs w:val="24"/>
              </w:rPr>
            </w:pPr>
          </w:p>
        </w:tc>
        <w:tc>
          <w:tcPr>
            <w:tcW w:w="1180" w:type="dxa"/>
            <w:tcBorders>
              <w:top w:val="nil"/>
              <w:left w:val="nil"/>
              <w:bottom w:val="nil"/>
              <w:right w:val="nil"/>
            </w:tcBorders>
            <w:shd w:val="clear" w:color="auto" w:fill="auto"/>
            <w:noWrap/>
            <w:hideMark/>
          </w:tcPr>
          <w:p w14:paraId="649C64C3" w14:textId="77777777" w:rsidR="00644AB7" w:rsidRPr="00644AB7"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5ED276DD" w14:textId="77777777" w:rsidR="00644AB7" w:rsidRPr="00644AB7"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4B26D6F3" w14:textId="77777777" w:rsidR="00644AB7" w:rsidRPr="00644AB7"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2C10F9E0" w14:textId="77777777" w:rsidR="00644AB7" w:rsidRPr="00644AB7" w:rsidRDefault="00644AB7" w:rsidP="00644AB7">
            <w:pPr>
              <w:jc w:val="left"/>
              <w:rPr>
                <w:rFonts w:ascii="Times New Roman" w:hAnsi="Times New Roman"/>
                <w:sz w:val="20"/>
                <w:szCs w:val="20"/>
              </w:rPr>
            </w:pPr>
          </w:p>
        </w:tc>
      </w:tr>
      <w:tr w:rsidR="00644AB7" w:rsidRPr="00644AB7" w14:paraId="53404E53" w14:textId="77777777" w:rsidTr="00644AB7">
        <w:trPr>
          <w:trHeight w:val="312"/>
        </w:trPr>
        <w:tc>
          <w:tcPr>
            <w:tcW w:w="3800" w:type="dxa"/>
            <w:tcBorders>
              <w:top w:val="nil"/>
              <w:left w:val="nil"/>
              <w:bottom w:val="nil"/>
              <w:right w:val="nil"/>
            </w:tcBorders>
            <w:shd w:val="clear" w:color="auto" w:fill="auto"/>
            <w:noWrap/>
            <w:hideMark/>
          </w:tcPr>
          <w:p w14:paraId="45DFDC75" w14:textId="77777777" w:rsidR="00644AB7" w:rsidRPr="00644AB7" w:rsidRDefault="00644AB7" w:rsidP="00644AB7">
            <w:pPr>
              <w:jc w:val="left"/>
              <w:rPr>
                <w:rFonts w:cs="Arial"/>
                <w:b/>
                <w:bCs/>
                <w:color w:val="000000"/>
                <w:sz w:val="24"/>
                <w:szCs w:val="24"/>
              </w:rPr>
            </w:pPr>
            <w:r w:rsidRPr="00644AB7">
              <w:rPr>
                <w:rFonts w:cs="Arial"/>
                <w:b/>
                <w:bCs/>
                <w:color w:val="000000"/>
                <w:sz w:val="24"/>
                <w:szCs w:val="24"/>
              </w:rPr>
              <w:t>Below Net Cost of Service</w:t>
            </w:r>
          </w:p>
        </w:tc>
        <w:tc>
          <w:tcPr>
            <w:tcW w:w="1180" w:type="dxa"/>
            <w:tcBorders>
              <w:top w:val="nil"/>
              <w:left w:val="nil"/>
              <w:bottom w:val="nil"/>
              <w:right w:val="nil"/>
            </w:tcBorders>
            <w:shd w:val="clear" w:color="auto" w:fill="auto"/>
            <w:noWrap/>
            <w:hideMark/>
          </w:tcPr>
          <w:p w14:paraId="38193FE2" w14:textId="77777777" w:rsidR="00644AB7" w:rsidRPr="00644AB7" w:rsidRDefault="00644AB7" w:rsidP="00644AB7">
            <w:pPr>
              <w:jc w:val="left"/>
              <w:rPr>
                <w:rFonts w:cs="Arial"/>
                <w:b/>
                <w:bCs/>
                <w:color w:val="000000"/>
                <w:sz w:val="24"/>
                <w:szCs w:val="24"/>
              </w:rPr>
            </w:pPr>
          </w:p>
        </w:tc>
        <w:tc>
          <w:tcPr>
            <w:tcW w:w="1300" w:type="dxa"/>
            <w:tcBorders>
              <w:top w:val="nil"/>
              <w:left w:val="nil"/>
              <w:bottom w:val="nil"/>
              <w:right w:val="nil"/>
            </w:tcBorders>
            <w:shd w:val="clear" w:color="auto" w:fill="auto"/>
            <w:noWrap/>
            <w:hideMark/>
          </w:tcPr>
          <w:p w14:paraId="3BB4909A" w14:textId="77777777" w:rsidR="00644AB7" w:rsidRPr="00644AB7"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191C3313" w14:textId="77777777" w:rsidR="00644AB7" w:rsidRPr="00644AB7"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69E00C2F" w14:textId="77777777" w:rsidR="00644AB7" w:rsidRPr="00644AB7" w:rsidRDefault="00644AB7" w:rsidP="00644AB7">
            <w:pPr>
              <w:jc w:val="left"/>
              <w:rPr>
                <w:rFonts w:ascii="Times New Roman" w:hAnsi="Times New Roman"/>
                <w:sz w:val="20"/>
                <w:szCs w:val="20"/>
              </w:rPr>
            </w:pPr>
          </w:p>
        </w:tc>
      </w:tr>
      <w:tr w:rsidR="00644AB7" w:rsidRPr="00644AB7" w14:paraId="42F19A7D" w14:textId="77777777" w:rsidTr="00644AB7">
        <w:trPr>
          <w:trHeight w:val="300"/>
        </w:trPr>
        <w:tc>
          <w:tcPr>
            <w:tcW w:w="3800" w:type="dxa"/>
            <w:tcBorders>
              <w:top w:val="nil"/>
              <w:left w:val="nil"/>
              <w:bottom w:val="nil"/>
              <w:right w:val="nil"/>
            </w:tcBorders>
            <w:shd w:val="clear" w:color="auto" w:fill="auto"/>
            <w:noWrap/>
            <w:hideMark/>
          </w:tcPr>
          <w:p w14:paraId="6509AB87" w14:textId="77777777" w:rsidR="00644AB7" w:rsidRPr="00644AB7" w:rsidRDefault="00644AB7" w:rsidP="00644AB7">
            <w:pPr>
              <w:jc w:val="left"/>
              <w:rPr>
                <w:rFonts w:cs="Arial"/>
                <w:color w:val="000000"/>
                <w:sz w:val="24"/>
                <w:szCs w:val="24"/>
              </w:rPr>
            </w:pPr>
            <w:r w:rsidRPr="00644AB7">
              <w:rPr>
                <w:rFonts w:cs="Arial"/>
                <w:color w:val="000000"/>
                <w:sz w:val="24"/>
                <w:szCs w:val="24"/>
              </w:rPr>
              <w:t>Interest on Balances</w:t>
            </w:r>
          </w:p>
        </w:tc>
        <w:tc>
          <w:tcPr>
            <w:tcW w:w="1180" w:type="dxa"/>
            <w:tcBorders>
              <w:top w:val="nil"/>
              <w:left w:val="nil"/>
              <w:bottom w:val="nil"/>
              <w:right w:val="nil"/>
            </w:tcBorders>
            <w:shd w:val="clear" w:color="auto" w:fill="auto"/>
            <w:noWrap/>
            <w:hideMark/>
          </w:tcPr>
          <w:p w14:paraId="3F065108"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3,366 </w:t>
            </w:r>
          </w:p>
        </w:tc>
        <w:tc>
          <w:tcPr>
            <w:tcW w:w="1300" w:type="dxa"/>
            <w:tcBorders>
              <w:top w:val="nil"/>
              <w:left w:val="nil"/>
              <w:bottom w:val="nil"/>
              <w:right w:val="nil"/>
            </w:tcBorders>
            <w:shd w:val="clear" w:color="auto" w:fill="auto"/>
            <w:noWrap/>
            <w:hideMark/>
          </w:tcPr>
          <w:p w14:paraId="705F6477"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3,933 </w:t>
            </w:r>
          </w:p>
        </w:tc>
        <w:tc>
          <w:tcPr>
            <w:tcW w:w="1300" w:type="dxa"/>
            <w:tcBorders>
              <w:top w:val="nil"/>
              <w:left w:val="nil"/>
              <w:bottom w:val="nil"/>
              <w:right w:val="nil"/>
            </w:tcBorders>
            <w:shd w:val="clear" w:color="auto" w:fill="auto"/>
            <w:noWrap/>
            <w:hideMark/>
          </w:tcPr>
          <w:p w14:paraId="169E0ACA"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4,656 </w:t>
            </w:r>
          </w:p>
        </w:tc>
        <w:tc>
          <w:tcPr>
            <w:tcW w:w="1300" w:type="dxa"/>
            <w:tcBorders>
              <w:top w:val="nil"/>
              <w:left w:val="nil"/>
              <w:bottom w:val="nil"/>
              <w:right w:val="nil"/>
            </w:tcBorders>
            <w:shd w:val="clear" w:color="auto" w:fill="auto"/>
            <w:noWrap/>
            <w:hideMark/>
          </w:tcPr>
          <w:p w14:paraId="4810AE0A"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4,665 </w:t>
            </w:r>
          </w:p>
        </w:tc>
      </w:tr>
      <w:tr w:rsidR="00644AB7" w:rsidRPr="00644AB7" w14:paraId="0B0A1BA9" w14:textId="77777777" w:rsidTr="00644AB7">
        <w:trPr>
          <w:trHeight w:val="300"/>
        </w:trPr>
        <w:tc>
          <w:tcPr>
            <w:tcW w:w="3800" w:type="dxa"/>
            <w:tcBorders>
              <w:top w:val="nil"/>
              <w:left w:val="nil"/>
              <w:bottom w:val="nil"/>
              <w:right w:val="nil"/>
            </w:tcBorders>
            <w:shd w:val="clear" w:color="auto" w:fill="auto"/>
            <w:noWrap/>
            <w:hideMark/>
          </w:tcPr>
          <w:p w14:paraId="49C0739E" w14:textId="77777777" w:rsidR="00644AB7" w:rsidRPr="00644AB7" w:rsidRDefault="00644AB7" w:rsidP="00644AB7">
            <w:pPr>
              <w:jc w:val="left"/>
              <w:rPr>
                <w:rFonts w:cs="Arial"/>
                <w:color w:val="000000"/>
                <w:sz w:val="24"/>
                <w:szCs w:val="24"/>
              </w:rPr>
            </w:pPr>
            <w:proofErr w:type="spellStart"/>
            <w:r w:rsidRPr="00644AB7">
              <w:rPr>
                <w:rFonts w:cs="Arial"/>
                <w:color w:val="000000"/>
                <w:sz w:val="24"/>
                <w:szCs w:val="24"/>
              </w:rPr>
              <w:t>Borrrowing</w:t>
            </w:r>
            <w:proofErr w:type="spellEnd"/>
            <w:r w:rsidRPr="00644AB7">
              <w:rPr>
                <w:rFonts w:cs="Arial"/>
                <w:color w:val="000000"/>
                <w:sz w:val="24"/>
                <w:szCs w:val="24"/>
              </w:rPr>
              <w:t xml:space="preserve"> Interest Paid</w:t>
            </w:r>
          </w:p>
        </w:tc>
        <w:tc>
          <w:tcPr>
            <w:tcW w:w="1180" w:type="dxa"/>
            <w:tcBorders>
              <w:top w:val="nil"/>
              <w:left w:val="nil"/>
              <w:bottom w:val="nil"/>
              <w:right w:val="nil"/>
            </w:tcBorders>
            <w:shd w:val="clear" w:color="auto" w:fill="auto"/>
            <w:noWrap/>
            <w:hideMark/>
          </w:tcPr>
          <w:p w14:paraId="772055CD" w14:textId="77777777" w:rsidR="00644AB7" w:rsidRPr="00644AB7" w:rsidRDefault="00644AB7" w:rsidP="00644AB7">
            <w:pPr>
              <w:jc w:val="right"/>
              <w:rPr>
                <w:rFonts w:cs="Arial"/>
                <w:color w:val="000000"/>
                <w:sz w:val="24"/>
                <w:szCs w:val="24"/>
              </w:rPr>
            </w:pPr>
            <w:r w:rsidRPr="00644AB7">
              <w:rPr>
                <w:rFonts w:cs="Arial"/>
                <w:color w:val="000000"/>
                <w:sz w:val="24"/>
                <w:szCs w:val="24"/>
              </w:rPr>
              <w:t>(2,819)</w:t>
            </w:r>
          </w:p>
        </w:tc>
        <w:tc>
          <w:tcPr>
            <w:tcW w:w="1300" w:type="dxa"/>
            <w:tcBorders>
              <w:top w:val="nil"/>
              <w:left w:val="nil"/>
              <w:bottom w:val="nil"/>
              <w:right w:val="nil"/>
            </w:tcBorders>
            <w:shd w:val="clear" w:color="auto" w:fill="auto"/>
            <w:noWrap/>
            <w:hideMark/>
          </w:tcPr>
          <w:p w14:paraId="2E889EC5" w14:textId="77777777" w:rsidR="00644AB7" w:rsidRPr="00644AB7" w:rsidRDefault="00644AB7" w:rsidP="00644AB7">
            <w:pPr>
              <w:jc w:val="right"/>
              <w:rPr>
                <w:rFonts w:cs="Arial"/>
                <w:color w:val="000000"/>
                <w:sz w:val="24"/>
                <w:szCs w:val="24"/>
              </w:rPr>
            </w:pPr>
            <w:r w:rsidRPr="00644AB7">
              <w:rPr>
                <w:rFonts w:cs="Arial"/>
                <w:color w:val="000000"/>
                <w:sz w:val="24"/>
                <w:szCs w:val="24"/>
              </w:rPr>
              <w:t>(2,563)</w:t>
            </w:r>
          </w:p>
        </w:tc>
        <w:tc>
          <w:tcPr>
            <w:tcW w:w="1300" w:type="dxa"/>
            <w:tcBorders>
              <w:top w:val="nil"/>
              <w:left w:val="nil"/>
              <w:bottom w:val="nil"/>
              <w:right w:val="nil"/>
            </w:tcBorders>
            <w:shd w:val="clear" w:color="auto" w:fill="auto"/>
            <w:noWrap/>
            <w:hideMark/>
          </w:tcPr>
          <w:p w14:paraId="4A3FCACD" w14:textId="77777777" w:rsidR="00644AB7" w:rsidRPr="00644AB7" w:rsidRDefault="00644AB7" w:rsidP="00644AB7">
            <w:pPr>
              <w:jc w:val="right"/>
              <w:rPr>
                <w:rFonts w:cs="Arial"/>
                <w:color w:val="000000"/>
                <w:sz w:val="24"/>
                <w:szCs w:val="24"/>
              </w:rPr>
            </w:pPr>
            <w:r w:rsidRPr="00644AB7">
              <w:rPr>
                <w:rFonts w:cs="Arial"/>
                <w:color w:val="000000"/>
                <w:sz w:val="24"/>
                <w:szCs w:val="24"/>
              </w:rPr>
              <w:t>(2,861)</w:t>
            </w:r>
          </w:p>
        </w:tc>
        <w:tc>
          <w:tcPr>
            <w:tcW w:w="1300" w:type="dxa"/>
            <w:tcBorders>
              <w:top w:val="nil"/>
              <w:left w:val="nil"/>
              <w:bottom w:val="nil"/>
              <w:right w:val="nil"/>
            </w:tcBorders>
            <w:shd w:val="clear" w:color="auto" w:fill="auto"/>
            <w:noWrap/>
            <w:hideMark/>
          </w:tcPr>
          <w:p w14:paraId="0C53EF25" w14:textId="77777777" w:rsidR="00644AB7" w:rsidRPr="00644AB7" w:rsidRDefault="00644AB7" w:rsidP="00644AB7">
            <w:pPr>
              <w:jc w:val="right"/>
              <w:rPr>
                <w:rFonts w:cs="Arial"/>
                <w:color w:val="000000"/>
                <w:sz w:val="24"/>
                <w:szCs w:val="24"/>
              </w:rPr>
            </w:pPr>
            <w:r w:rsidRPr="00644AB7">
              <w:rPr>
                <w:rFonts w:cs="Arial"/>
                <w:color w:val="000000"/>
                <w:sz w:val="24"/>
                <w:szCs w:val="24"/>
              </w:rPr>
              <w:t>(2,885)</w:t>
            </w:r>
          </w:p>
        </w:tc>
      </w:tr>
      <w:tr w:rsidR="00644AB7" w:rsidRPr="00644AB7" w14:paraId="01FE4C47" w14:textId="77777777" w:rsidTr="00644AB7">
        <w:trPr>
          <w:trHeight w:val="300"/>
        </w:trPr>
        <w:tc>
          <w:tcPr>
            <w:tcW w:w="3800" w:type="dxa"/>
            <w:tcBorders>
              <w:top w:val="nil"/>
              <w:left w:val="nil"/>
              <w:bottom w:val="nil"/>
              <w:right w:val="nil"/>
            </w:tcBorders>
            <w:shd w:val="clear" w:color="auto" w:fill="auto"/>
            <w:noWrap/>
            <w:hideMark/>
          </w:tcPr>
          <w:p w14:paraId="1DD3E53C" w14:textId="77777777" w:rsidR="00644AB7" w:rsidRPr="00644AB7" w:rsidRDefault="00644AB7" w:rsidP="00644AB7">
            <w:pPr>
              <w:jc w:val="left"/>
              <w:rPr>
                <w:rFonts w:cs="Arial"/>
                <w:color w:val="000000"/>
                <w:sz w:val="24"/>
                <w:szCs w:val="24"/>
              </w:rPr>
            </w:pPr>
            <w:r w:rsidRPr="00644AB7">
              <w:rPr>
                <w:rFonts w:cs="Arial"/>
                <w:color w:val="000000"/>
                <w:sz w:val="24"/>
                <w:szCs w:val="24"/>
              </w:rPr>
              <w:t>Statutory Debt Repayment</w:t>
            </w:r>
          </w:p>
        </w:tc>
        <w:tc>
          <w:tcPr>
            <w:tcW w:w="1180" w:type="dxa"/>
            <w:tcBorders>
              <w:top w:val="nil"/>
              <w:left w:val="nil"/>
              <w:bottom w:val="nil"/>
              <w:right w:val="nil"/>
            </w:tcBorders>
            <w:shd w:val="clear" w:color="auto" w:fill="auto"/>
            <w:noWrap/>
            <w:hideMark/>
          </w:tcPr>
          <w:p w14:paraId="650DE32B"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464 </w:t>
            </w:r>
          </w:p>
        </w:tc>
        <w:tc>
          <w:tcPr>
            <w:tcW w:w="1300" w:type="dxa"/>
            <w:tcBorders>
              <w:top w:val="nil"/>
              <w:left w:val="nil"/>
              <w:bottom w:val="nil"/>
              <w:right w:val="nil"/>
            </w:tcBorders>
            <w:shd w:val="clear" w:color="auto" w:fill="auto"/>
            <w:noWrap/>
            <w:hideMark/>
          </w:tcPr>
          <w:p w14:paraId="60D0E78C"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446 </w:t>
            </w:r>
          </w:p>
        </w:tc>
        <w:tc>
          <w:tcPr>
            <w:tcW w:w="1300" w:type="dxa"/>
            <w:tcBorders>
              <w:top w:val="nil"/>
              <w:left w:val="nil"/>
              <w:bottom w:val="nil"/>
              <w:right w:val="nil"/>
            </w:tcBorders>
            <w:shd w:val="clear" w:color="auto" w:fill="auto"/>
            <w:noWrap/>
            <w:hideMark/>
          </w:tcPr>
          <w:p w14:paraId="494FDA86"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428 </w:t>
            </w:r>
          </w:p>
        </w:tc>
        <w:tc>
          <w:tcPr>
            <w:tcW w:w="1300" w:type="dxa"/>
            <w:tcBorders>
              <w:top w:val="nil"/>
              <w:left w:val="nil"/>
              <w:bottom w:val="nil"/>
              <w:right w:val="nil"/>
            </w:tcBorders>
            <w:shd w:val="clear" w:color="auto" w:fill="auto"/>
            <w:noWrap/>
            <w:hideMark/>
          </w:tcPr>
          <w:p w14:paraId="177F1967"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412 </w:t>
            </w:r>
          </w:p>
        </w:tc>
      </w:tr>
      <w:tr w:rsidR="00644AB7" w:rsidRPr="00644AB7" w14:paraId="19E04FEA" w14:textId="77777777" w:rsidTr="00644AB7">
        <w:trPr>
          <w:trHeight w:val="300"/>
        </w:trPr>
        <w:tc>
          <w:tcPr>
            <w:tcW w:w="3800" w:type="dxa"/>
            <w:tcBorders>
              <w:top w:val="nil"/>
              <w:left w:val="nil"/>
              <w:bottom w:val="nil"/>
              <w:right w:val="nil"/>
            </w:tcBorders>
            <w:shd w:val="clear" w:color="auto" w:fill="auto"/>
            <w:noWrap/>
            <w:hideMark/>
          </w:tcPr>
          <w:p w14:paraId="13C0FAB1" w14:textId="77777777" w:rsidR="00644AB7" w:rsidRPr="00644AB7" w:rsidRDefault="00644AB7" w:rsidP="00644AB7">
            <w:pPr>
              <w:jc w:val="left"/>
              <w:rPr>
                <w:rFonts w:cs="Arial"/>
                <w:color w:val="000000"/>
                <w:sz w:val="24"/>
                <w:szCs w:val="24"/>
              </w:rPr>
            </w:pPr>
            <w:r w:rsidRPr="00644AB7">
              <w:rPr>
                <w:rFonts w:cs="Arial"/>
                <w:color w:val="000000"/>
                <w:sz w:val="24"/>
                <w:szCs w:val="24"/>
              </w:rPr>
              <w:t>Investment Property Income</w:t>
            </w:r>
          </w:p>
        </w:tc>
        <w:tc>
          <w:tcPr>
            <w:tcW w:w="1180" w:type="dxa"/>
            <w:tcBorders>
              <w:top w:val="nil"/>
              <w:left w:val="nil"/>
              <w:bottom w:val="nil"/>
              <w:right w:val="nil"/>
            </w:tcBorders>
            <w:shd w:val="clear" w:color="auto" w:fill="auto"/>
            <w:noWrap/>
            <w:hideMark/>
          </w:tcPr>
          <w:p w14:paraId="6D5E02EF" w14:textId="77777777" w:rsidR="00644AB7" w:rsidRPr="00644AB7" w:rsidRDefault="00644AB7" w:rsidP="00644AB7">
            <w:pPr>
              <w:jc w:val="right"/>
              <w:rPr>
                <w:rFonts w:cs="Arial"/>
                <w:color w:val="000000"/>
                <w:sz w:val="24"/>
                <w:szCs w:val="24"/>
              </w:rPr>
            </w:pPr>
            <w:r w:rsidRPr="00644AB7">
              <w:rPr>
                <w:rFonts w:cs="Arial"/>
                <w:color w:val="000000"/>
                <w:sz w:val="24"/>
                <w:szCs w:val="24"/>
              </w:rPr>
              <w:t>(2,518)</w:t>
            </w:r>
          </w:p>
        </w:tc>
        <w:tc>
          <w:tcPr>
            <w:tcW w:w="1300" w:type="dxa"/>
            <w:tcBorders>
              <w:top w:val="nil"/>
              <w:left w:val="nil"/>
              <w:bottom w:val="nil"/>
              <w:right w:val="nil"/>
            </w:tcBorders>
            <w:shd w:val="clear" w:color="auto" w:fill="auto"/>
            <w:noWrap/>
            <w:hideMark/>
          </w:tcPr>
          <w:p w14:paraId="4AA3893A" w14:textId="77777777" w:rsidR="00644AB7" w:rsidRPr="00644AB7" w:rsidRDefault="00644AB7" w:rsidP="00644AB7">
            <w:pPr>
              <w:jc w:val="right"/>
              <w:rPr>
                <w:rFonts w:cs="Arial"/>
                <w:color w:val="000000"/>
                <w:sz w:val="24"/>
                <w:szCs w:val="24"/>
              </w:rPr>
            </w:pPr>
            <w:r w:rsidRPr="00644AB7">
              <w:rPr>
                <w:rFonts w:cs="Arial"/>
                <w:color w:val="000000"/>
                <w:sz w:val="24"/>
                <w:szCs w:val="24"/>
              </w:rPr>
              <w:t>(3,544)</w:t>
            </w:r>
          </w:p>
        </w:tc>
        <w:tc>
          <w:tcPr>
            <w:tcW w:w="1300" w:type="dxa"/>
            <w:tcBorders>
              <w:top w:val="nil"/>
              <w:left w:val="nil"/>
              <w:bottom w:val="nil"/>
              <w:right w:val="nil"/>
            </w:tcBorders>
            <w:shd w:val="clear" w:color="auto" w:fill="auto"/>
            <w:noWrap/>
            <w:hideMark/>
          </w:tcPr>
          <w:p w14:paraId="7ED46064" w14:textId="77777777" w:rsidR="00644AB7" w:rsidRPr="00644AB7" w:rsidRDefault="00644AB7" w:rsidP="00644AB7">
            <w:pPr>
              <w:jc w:val="right"/>
              <w:rPr>
                <w:rFonts w:cs="Arial"/>
                <w:color w:val="000000"/>
                <w:sz w:val="24"/>
                <w:szCs w:val="24"/>
              </w:rPr>
            </w:pPr>
            <w:r w:rsidRPr="00644AB7">
              <w:rPr>
                <w:rFonts w:cs="Arial"/>
                <w:color w:val="000000"/>
                <w:sz w:val="24"/>
                <w:szCs w:val="24"/>
              </w:rPr>
              <w:t>(3,939)</w:t>
            </w:r>
          </w:p>
        </w:tc>
        <w:tc>
          <w:tcPr>
            <w:tcW w:w="1300" w:type="dxa"/>
            <w:tcBorders>
              <w:top w:val="nil"/>
              <w:left w:val="nil"/>
              <w:bottom w:val="nil"/>
              <w:right w:val="nil"/>
            </w:tcBorders>
            <w:shd w:val="clear" w:color="auto" w:fill="auto"/>
            <w:noWrap/>
            <w:hideMark/>
          </w:tcPr>
          <w:p w14:paraId="3482D2DE" w14:textId="77777777" w:rsidR="00644AB7" w:rsidRPr="00644AB7" w:rsidRDefault="00644AB7" w:rsidP="00644AB7">
            <w:pPr>
              <w:jc w:val="right"/>
              <w:rPr>
                <w:rFonts w:cs="Arial"/>
                <w:color w:val="000000"/>
                <w:sz w:val="24"/>
                <w:szCs w:val="24"/>
              </w:rPr>
            </w:pPr>
            <w:r w:rsidRPr="00644AB7">
              <w:rPr>
                <w:rFonts w:cs="Arial"/>
                <w:color w:val="000000"/>
                <w:sz w:val="24"/>
                <w:szCs w:val="24"/>
              </w:rPr>
              <w:t>(4,067)</w:t>
            </w:r>
          </w:p>
        </w:tc>
      </w:tr>
      <w:tr w:rsidR="00644AB7" w:rsidRPr="00644AB7" w14:paraId="39FD99CB" w14:textId="77777777" w:rsidTr="00644AB7">
        <w:trPr>
          <w:trHeight w:val="300"/>
        </w:trPr>
        <w:tc>
          <w:tcPr>
            <w:tcW w:w="3800" w:type="dxa"/>
            <w:tcBorders>
              <w:top w:val="nil"/>
              <w:left w:val="nil"/>
              <w:bottom w:val="nil"/>
              <w:right w:val="nil"/>
            </w:tcBorders>
            <w:shd w:val="clear" w:color="auto" w:fill="auto"/>
            <w:noWrap/>
            <w:hideMark/>
          </w:tcPr>
          <w:p w14:paraId="4D667F80" w14:textId="77777777" w:rsidR="00644AB7" w:rsidRPr="00644AB7" w:rsidRDefault="00644AB7" w:rsidP="00644AB7">
            <w:pPr>
              <w:jc w:val="left"/>
              <w:rPr>
                <w:rFonts w:cs="Arial"/>
                <w:color w:val="000000"/>
                <w:sz w:val="24"/>
                <w:szCs w:val="24"/>
              </w:rPr>
            </w:pPr>
            <w:r w:rsidRPr="00644AB7">
              <w:rPr>
                <w:rFonts w:cs="Arial"/>
                <w:color w:val="000000"/>
                <w:sz w:val="24"/>
                <w:szCs w:val="24"/>
              </w:rPr>
              <w:t>Town and Parish Precepts</w:t>
            </w:r>
          </w:p>
        </w:tc>
        <w:tc>
          <w:tcPr>
            <w:tcW w:w="1180" w:type="dxa"/>
            <w:tcBorders>
              <w:top w:val="nil"/>
              <w:left w:val="nil"/>
              <w:bottom w:val="nil"/>
              <w:right w:val="nil"/>
            </w:tcBorders>
            <w:shd w:val="clear" w:color="auto" w:fill="auto"/>
            <w:noWrap/>
            <w:hideMark/>
          </w:tcPr>
          <w:p w14:paraId="703633E1"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105 </w:t>
            </w:r>
          </w:p>
        </w:tc>
        <w:tc>
          <w:tcPr>
            <w:tcW w:w="1300" w:type="dxa"/>
            <w:tcBorders>
              <w:top w:val="nil"/>
              <w:left w:val="nil"/>
              <w:bottom w:val="nil"/>
              <w:right w:val="nil"/>
            </w:tcBorders>
            <w:shd w:val="clear" w:color="auto" w:fill="auto"/>
            <w:noWrap/>
            <w:hideMark/>
          </w:tcPr>
          <w:p w14:paraId="6A712B88"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105 </w:t>
            </w:r>
          </w:p>
        </w:tc>
        <w:tc>
          <w:tcPr>
            <w:tcW w:w="1300" w:type="dxa"/>
            <w:tcBorders>
              <w:top w:val="nil"/>
              <w:left w:val="nil"/>
              <w:bottom w:val="nil"/>
              <w:right w:val="nil"/>
            </w:tcBorders>
            <w:shd w:val="clear" w:color="auto" w:fill="auto"/>
            <w:noWrap/>
            <w:hideMark/>
          </w:tcPr>
          <w:p w14:paraId="129FF6B9"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105 </w:t>
            </w:r>
          </w:p>
        </w:tc>
        <w:tc>
          <w:tcPr>
            <w:tcW w:w="1300" w:type="dxa"/>
            <w:tcBorders>
              <w:top w:val="nil"/>
              <w:left w:val="nil"/>
              <w:bottom w:val="nil"/>
              <w:right w:val="nil"/>
            </w:tcBorders>
            <w:shd w:val="clear" w:color="auto" w:fill="auto"/>
            <w:noWrap/>
            <w:hideMark/>
          </w:tcPr>
          <w:p w14:paraId="1DC8C36B" w14:textId="77777777" w:rsidR="00644AB7" w:rsidRPr="00644AB7" w:rsidRDefault="00644AB7" w:rsidP="00644AB7">
            <w:pPr>
              <w:jc w:val="right"/>
              <w:rPr>
                <w:rFonts w:cs="Arial"/>
                <w:color w:val="000000"/>
                <w:sz w:val="24"/>
                <w:szCs w:val="24"/>
              </w:rPr>
            </w:pPr>
            <w:r w:rsidRPr="00644AB7">
              <w:rPr>
                <w:rFonts w:cs="Arial"/>
                <w:color w:val="000000"/>
                <w:sz w:val="24"/>
                <w:szCs w:val="24"/>
              </w:rPr>
              <w:t xml:space="preserve">105 </w:t>
            </w:r>
          </w:p>
        </w:tc>
      </w:tr>
      <w:tr w:rsidR="00644AB7" w:rsidRPr="00644AB7" w14:paraId="2F844939" w14:textId="77777777" w:rsidTr="00644AB7">
        <w:trPr>
          <w:trHeight w:val="300"/>
        </w:trPr>
        <w:tc>
          <w:tcPr>
            <w:tcW w:w="3800" w:type="dxa"/>
            <w:tcBorders>
              <w:top w:val="nil"/>
              <w:left w:val="nil"/>
              <w:bottom w:val="nil"/>
              <w:right w:val="nil"/>
            </w:tcBorders>
            <w:shd w:val="clear" w:color="auto" w:fill="auto"/>
            <w:noWrap/>
            <w:hideMark/>
          </w:tcPr>
          <w:p w14:paraId="5101C3E2" w14:textId="77777777" w:rsidR="00644AB7" w:rsidRPr="00644AB7" w:rsidRDefault="00644AB7" w:rsidP="00644AB7">
            <w:pPr>
              <w:jc w:val="left"/>
              <w:rPr>
                <w:rFonts w:cs="Arial"/>
                <w:color w:val="000000"/>
                <w:sz w:val="24"/>
                <w:szCs w:val="24"/>
              </w:rPr>
            </w:pPr>
            <w:r w:rsidRPr="00644AB7">
              <w:rPr>
                <w:rFonts w:cs="Arial"/>
                <w:color w:val="000000"/>
                <w:sz w:val="24"/>
                <w:szCs w:val="24"/>
              </w:rPr>
              <w:t>Depreciation reversal</w:t>
            </w:r>
          </w:p>
        </w:tc>
        <w:tc>
          <w:tcPr>
            <w:tcW w:w="1180" w:type="dxa"/>
            <w:tcBorders>
              <w:top w:val="nil"/>
              <w:left w:val="nil"/>
              <w:bottom w:val="nil"/>
              <w:right w:val="nil"/>
            </w:tcBorders>
            <w:shd w:val="clear" w:color="auto" w:fill="auto"/>
            <w:noWrap/>
            <w:hideMark/>
          </w:tcPr>
          <w:p w14:paraId="4BC48559" w14:textId="77777777" w:rsidR="00644AB7" w:rsidRPr="00644AB7" w:rsidRDefault="00644AB7" w:rsidP="00644AB7">
            <w:pPr>
              <w:jc w:val="right"/>
              <w:rPr>
                <w:rFonts w:cs="Arial"/>
                <w:color w:val="000000"/>
                <w:sz w:val="24"/>
                <w:szCs w:val="24"/>
              </w:rPr>
            </w:pPr>
            <w:r w:rsidRPr="00644AB7">
              <w:rPr>
                <w:rFonts w:cs="Arial"/>
                <w:color w:val="000000"/>
                <w:sz w:val="24"/>
                <w:szCs w:val="24"/>
              </w:rPr>
              <w:t>(1,376)</w:t>
            </w:r>
          </w:p>
        </w:tc>
        <w:tc>
          <w:tcPr>
            <w:tcW w:w="1300" w:type="dxa"/>
            <w:tcBorders>
              <w:top w:val="nil"/>
              <w:left w:val="nil"/>
              <w:bottom w:val="nil"/>
              <w:right w:val="nil"/>
            </w:tcBorders>
            <w:shd w:val="clear" w:color="auto" w:fill="auto"/>
            <w:noWrap/>
            <w:hideMark/>
          </w:tcPr>
          <w:p w14:paraId="4D3C95C7" w14:textId="77777777" w:rsidR="00644AB7" w:rsidRPr="00644AB7" w:rsidRDefault="00644AB7" w:rsidP="00644AB7">
            <w:pPr>
              <w:jc w:val="right"/>
              <w:rPr>
                <w:rFonts w:cs="Arial"/>
                <w:color w:val="000000"/>
                <w:sz w:val="24"/>
                <w:szCs w:val="24"/>
              </w:rPr>
            </w:pPr>
            <w:r w:rsidRPr="00644AB7">
              <w:rPr>
                <w:rFonts w:cs="Arial"/>
                <w:color w:val="000000"/>
                <w:sz w:val="24"/>
                <w:szCs w:val="24"/>
              </w:rPr>
              <w:t>(1,223)</w:t>
            </w:r>
          </w:p>
        </w:tc>
        <w:tc>
          <w:tcPr>
            <w:tcW w:w="1300" w:type="dxa"/>
            <w:tcBorders>
              <w:top w:val="nil"/>
              <w:left w:val="nil"/>
              <w:bottom w:val="nil"/>
              <w:right w:val="nil"/>
            </w:tcBorders>
            <w:shd w:val="clear" w:color="auto" w:fill="auto"/>
            <w:noWrap/>
            <w:hideMark/>
          </w:tcPr>
          <w:p w14:paraId="284AC318" w14:textId="77777777" w:rsidR="00644AB7" w:rsidRPr="00644AB7" w:rsidRDefault="00644AB7" w:rsidP="00644AB7">
            <w:pPr>
              <w:jc w:val="right"/>
              <w:rPr>
                <w:rFonts w:cs="Arial"/>
                <w:color w:val="000000"/>
                <w:sz w:val="24"/>
                <w:szCs w:val="24"/>
              </w:rPr>
            </w:pPr>
            <w:r w:rsidRPr="00644AB7">
              <w:rPr>
                <w:rFonts w:cs="Arial"/>
                <w:color w:val="000000"/>
                <w:sz w:val="24"/>
                <w:szCs w:val="24"/>
              </w:rPr>
              <w:t>(1,214)</w:t>
            </w:r>
          </w:p>
        </w:tc>
        <w:tc>
          <w:tcPr>
            <w:tcW w:w="1300" w:type="dxa"/>
            <w:tcBorders>
              <w:top w:val="nil"/>
              <w:left w:val="nil"/>
              <w:bottom w:val="nil"/>
              <w:right w:val="nil"/>
            </w:tcBorders>
            <w:shd w:val="clear" w:color="auto" w:fill="auto"/>
            <w:noWrap/>
            <w:hideMark/>
          </w:tcPr>
          <w:p w14:paraId="572B345A" w14:textId="77777777" w:rsidR="00644AB7" w:rsidRPr="00644AB7" w:rsidRDefault="00644AB7" w:rsidP="00644AB7">
            <w:pPr>
              <w:jc w:val="right"/>
              <w:rPr>
                <w:rFonts w:cs="Arial"/>
                <w:color w:val="000000"/>
                <w:sz w:val="24"/>
                <w:szCs w:val="24"/>
              </w:rPr>
            </w:pPr>
            <w:r w:rsidRPr="00644AB7">
              <w:rPr>
                <w:rFonts w:cs="Arial"/>
                <w:color w:val="000000"/>
                <w:sz w:val="24"/>
                <w:szCs w:val="24"/>
              </w:rPr>
              <w:t>(1,214)</w:t>
            </w:r>
          </w:p>
        </w:tc>
      </w:tr>
      <w:tr w:rsidR="00644AB7" w:rsidRPr="00644AB7" w14:paraId="2F961C0D" w14:textId="77777777" w:rsidTr="00644AB7">
        <w:trPr>
          <w:trHeight w:val="312"/>
        </w:trPr>
        <w:tc>
          <w:tcPr>
            <w:tcW w:w="3800" w:type="dxa"/>
            <w:tcBorders>
              <w:top w:val="nil"/>
              <w:left w:val="nil"/>
              <w:bottom w:val="nil"/>
              <w:right w:val="nil"/>
            </w:tcBorders>
            <w:shd w:val="clear" w:color="auto" w:fill="auto"/>
            <w:noWrap/>
            <w:hideMark/>
          </w:tcPr>
          <w:p w14:paraId="00F9D219" w14:textId="77777777" w:rsidR="00644AB7" w:rsidRPr="00644AB7" w:rsidRDefault="00644AB7" w:rsidP="00644AB7">
            <w:pPr>
              <w:jc w:val="left"/>
              <w:rPr>
                <w:rFonts w:cs="Arial"/>
                <w:b/>
                <w:bCs/>
                <w:color w:val="000000"/>
                <w:sz w:val="24"/>
                <w:szCs w:val="24"/>
              </w:rPr>
            </w:pPr>
            <w:r w:rsidRPr="00644AB7">
              <w:rPr>
                <w:rFonts w:cs="Arial"/>
                <w:b/>
                <w:bCs/>
                <w:color w:val="000000"/>
                <w:sz w:val="24"/>
                <w:szCs w:val="24"/>
              </w:rPr>
              <w:t>Net Revenue Expenditure</w:t>
            </w:r>
          </w:p>
        </w:tc>
        <w:tc>
          <w:tcPr>
            <w:tcW w:w="1180" w:type="dxa"/>
            <w:tcBorders>
              <w:top w:val="nil"/>
              <w:left w:val="nil"/>
              <w:bottom w:val="nil"/>
              <w:right w:val="nil"/>
            </w:tcBorders>
            <w:shd w:val="clear" w:color="auto" w:fill="auto"/>
            <w:noWrap/>
            <w:hideMark/>
          </w:tcPr>
          <w:p w14:paraId="0AFDBA04" w14:textId="77777777" w:rsidR="00644AB7" w:rsidRPr="00644AB7" w:rsidRDefault="00644AB7" w:rsidP="00644AB7">
            <w:pPr>
              <w:jc w:val="right"/>
              <w:rPr>
                <w:rFonts w:cs="Arial"/>
                <w:b/>
                <w:bCs/>
                <w:color w:val="000000"/>
                <w:sz w:val="24"/>
                <w:szCs w:val="24"/>
              </w:rPr>
            </w:pPr>
            <w:r w:rsidRPr="00644AB7">
              <w:rPr>
                <w:rFonts w:cs="Arial"/>
                <w:b/>
                <w:bCs/>
                <w:color w:val="000000"/>
                <w:sz w:val="24"/>
                <w:szCs w:val="24"/>
              </w:rPr>
              <w:t xml:space="preserve">10,567 </w:t>
            </w:r>
          </w:p>
        </w:tc>
        <w:tc>
          <w:tcPr>
            <w:tcW w:w="1300" w:type="dxa"/>
            <w:tcBorders>
              <w:top w:val="nil"/>
              <w:left w:val="nil"/>
              <w:bottom w:val="nil"/>
              <w:right w:val="nil"/>
            </w:tcBorders>
            <w:shd w:val="clear" w:color="auto" w:fill="auto"/>
            <w:noWrap/>
            <w:hideMark/>
          </w:tcPr>
          <w:p w14:paraId="42D5D005" w14:textId="77777777" w:rsidR="00644AB7" w:rsidRPr="00644AB7" w:rsidRDefault="00644AB7" w:rsidP="00644AB7">
            <w:pPr>
              <w:jc w:val="right"/>
              <w:rPr>
                <w:rFonts w:cs="Arial"/>
                <w:b/>
                <w:bCs/>
                <w:color w:val="000000"/>
                <w:sz w:val="24"/>
                <w:szCs w:val="24"/>
              </w:rPr>
            </w:pPr>
            <w:r w:rsidRPr="00644AB7">
              <w:rPr>
                <w:rFonts w:cs="Arial"/>
                <w:b/>
                <w:bCs/>
                <w:color w:val="000000"/>
                <w:sz w:val="24"/>
                <w:szCs w:val="24"/>
              </w:rPr>
              <w:t xml:space="preserve">8,968 </w:t>
            </w:r>
          </w:p>
        </w:tc>
        <w:tc>
          <w:tcPr>
            <w:tcW w:w="1300" w:type="dxa"/>
            <w:tcBorders>
              <w:top w:val="nil"/>
              <w:left w:val="nil"/>
              <w:bottom w:val="nil"/>
              <w:right w:val="nil"/>
            </w:tcBorders>
            <w:shd w:val="clear" w:color="auto" w:fill="auto"/>
            <w:noWrap/>
            <w:hideMark/>
          </w:tcPr>
          <w:p w14:paraId="1F9A275F" w14:textId="77777777" w:rsidR="00644AB7" w:rsidRPr="00644AB7" w:rsidRDefault="00644AB7" w:rsidP="00644AB7">
            <w:pPr>
              <w:jc w:val="right"/>
              <w:rPr>
                <w:rFonts w:cs="Arial"/>
                <w:b/>
                <w:bCs/>
                <w:color w:val="000000"/>
                <w:sz w:val="24"/>
                <w:szCs w:val="24"/>
              </w:rPr>
            </w:pPr>
            <w:r w:rsidRPr="00644AB7">
              <w:rPr>
                <w:rFonts w:cs="Arial"/>
                <w:b/>
                <w:bCs/>
                <w:color w:val="000000"/>
                <w:sz w:val="24"/>
                <w:szCs w:val="24"/>
              </w:rPr>
              <w:t xml:space="preserve">9,344 </w:t>
            </w:r>
          </w:p>
        </w:tc>
        <w:tc>
          <w:tcPr>
            <w:tcW w:w="1300" w:type="dxa"/>
            <w:tcBorders>
              <w:top w:val="nil"/>
              <w:left w:val="nil"/>
              <w:bottom w:val="nil"/>
              <w:right w:val="nil"/>
            </w:tcBorders>
            <w:shd w:val="clear" w:color="auto" w:fill="auto"/>
            <w:noWrap/>
            <w:hideMark/>
          </w:tcPr>
          <w:p w14:paraId="77E537AF" w14:textId="77777777" w:rsidR="00644AB7" w:rsidRPr="00644AB7" w:rsidRDefault="00644AB7" w:rsidP="00644AB7">
            <w:pPr>
              <w:jc w:val="right"/>
              <w:rPr>
                <w:rFonts w:cs="Arial"/>
                <w:b/>
                <w:bCs/>
                <w:color w:val="000000"/>
                <w:sz w:val="24"/>
                <w:szCs w:val="24"/>
              </w:rPr>
            </w:pPr>
            <w:r w:rsidRPr="00644AB7">
              <w:rPr>
                <w:rFonts w:cs="Arial"/>
                <w:b/>
                <w:bCs/>
                <w:color w:val="000000"/>
                <w:sz w:val="24"/>
                <w:szCs w:val="24"/>
              </w:rPr>
              <w:t xml:space="preserve">9,422 </w:t>
            </w:r>
          </w:p>
        </w:tc>
      </w:tr>
      <w:tr w:rsidR="00644AB7" w:rsidRPr="00B35816" w14:paraId="7B696F9D" w14:textId="77777777" w:rsidTr="00644AB7">
        <w:trPr>
          <w:trHeight w:val="300"/>
        </w:trPr>
        <w:tc>
          <w:tcPr>
            <w:tcW w:w="3800" w:type="dxa"/>
            <w:tcBorders>
              <w:top w:val="nil"/>
              <w:left w:val="nil"/>
              <w:bottom w:val="nil"/>
              <w:right w:val="nil"/>
            </w:tcBorders>
            <w:shd w:val="clear" w:color="auto" w:fill="auto"/>
            <w:noWrap/>
            <w:hideMark/>
          </w:tcPr>
          <w:p w14:paraId="2CBEF2B8" w14:textId="77777777" w:rsidR="00644AB7" w:rsidRPr="00B35816" w:rsidRDefault="00644AB7" w:rsidP="00644AB7">
            <w:pPr>
              <w:jc w:val="right"/>
              <w:rPr>
                <w:rFonts w:cs="Arial"/>
                <w:b/>
                <w:bCs/>
                <w:color w:val="000000"/>
                <w:sz w:val="24"/>
                <w:szCs w:val="24"/>
              </w:rPr>
            </w:pPr>
          </w:p>
        </w:tc>
        <w:tc>
          <w:tcPr>
            <w:tcW w:w="1180" w:type="dxa"/>
            <w:tcBorders>
              <w:top w:val="nil"/>
              <w:left w:val="nil"/>
              <w:bottom w:val="nil"/>
              <w:right w:val="nil"/>
            </w:tcBorders>
            <w:shd w:val="clear" w:color="auto" w:fill="auto"/>
            <w:noWrap/>
            <w:hideMark/>
          </w:tcPr>
          <w:p w14:paraId="34724813" w14:textId="77777777" w:rsidR="00644AB7" w:rsidRPr="00B35816"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1F43C278" w14:textId="77777777" w:rsidR="00644AB7" w:rsidRPr="00B35816"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0588269A" w14:textId="77777777" w:rsidR="00644AB7" w:rsidRPr="00B35816"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533D8D7A" w14:textId="77777777" w:rsidR="00644AB7" w:rsidRPr="00B35816" w:rsidRDefault="00644AB7" w:rsidP="00644AB7">
            <w:pPr>
              <w:jc w:val="left"/>
              <w:rPr>
                <w:rFonts w:ascii="Times New Roman" w:hAnsi="Times New Roman"/>
                <w:sz w:val="20"/>
                <w:szCs w:val="20"/>
              </w:rPr>
            </w:pPr>
          </w:p>
        </w:tc>
      </w:tr>
      <w:tr w:rsidR="00644AB7" w:rsidRPr="00B35816" w14:paraId="7FC9D490" w14:textId="77777777" w:rsidTr="00B35816">
        <w:trPr>
          <w:trHeight w:val="312"/>
        </w:trPr>
        <w:tc>
          <w:tcPr>
            <w:tcW w:w="3800" w:type="dxa"/>
            <w:tcBorders>
              <w:top w:val="nil"/>
              <w:left w:val="nil"/>
              <w:bottom w:val="nil"/>
              <w:right w:val="nil"/>
            </w:tcBorders>
            <w:shd w:val="clear" w:color="auto" w:fill="auto"/>
            <w:noWrap/>
            <w:hideMark/>
          </w:tcPr>
          <w:p w14:paraId="16EBC243" w14:textId="77777777" w:rsidR="00644AB7" w:rsidRPr="00B35816" w:rsidRDefault="00644AB7" w:rsidP="00644AB7">
            <w:pPr>
              <w:jc w:val="left"/>
              <w:rPr>
                <w:rFonts w:cs="Arial"/>
                <w:b/>
                <w:bCs/>
                <w:color w:val="000000"/>
                <w:sz w:val="24"/>
                <w:szCs w:val="24"/>
              </w:rPr>
            </w:pPr>
            <w:r w:rsidRPr="00B35816">
              <w:rPr>
                <w:rFonts w:cs="Arial"/>
                <w:b/>
                <w:bCs/>
                <w:color w:val="000000"/>
                <w:sz w:val="24"/>
                <w:szCs w:val="24"/>
              </w:rPr>
              <w:t>Transfers to / from Reserves</w:t>
            </w:r>
          </w:p>
        </w:tc>
        <w:tc>
          <w:tcPr>
            <w:tcW w:w="1180" w:type="dxa"/>
            <w:tcBorders>
              <w:top w:val="nil"/>
              <w:left w:val="nil"/>
              <w:bottom w:val="nil"/>
              <w:right w:val="nil"/>
            </w:tcBorders>
            <w:shd w:val="clear" w:color="auto" w:fill="auto"/>
            <w:noWrap/>
            <w:hideMark/>
          </w:tcPr>
          <w:p w14:paraId="6D88514A" w14:textId="77777777" w:rsidR="00644AB7" w:rsidRPr="00B35816" w:rsidRDefault="00644AB7" w:rsidP="00644AB7">
            <w:pPr>
              <w:jc w:val="right"/>
              <w:rPr>
                <w:rFonts w:cs="Arial"/>
                <w:color w:val="000000"/>
                <w:sz w:val="24"/>
                <w:szCs w:val="24"/>
              </w:rPr>
            </w:pPr>
            <w:r w:rsidRPr="00B35816">
              <w:rPr>
                <w:rFonts w:cs="Arial"/>
                <w:color w:val="000000"/>
                <w:sz w:val="24"/>
                <w:szCs w:val="24"/>
              </w:rPr>
              <w:t>(314)</w:t>
            </w:r>
          </w:p>
        </w:tc>
        <w:tc>
          <w:tcPr>
            <w:tcW w:w="1300" w:type="dxa"/>
            <w:tcBorders>
              <w:top w:val="nil"/>
              <w:left w:val="nil"/>
              <w:bottom w:val="nil"/>
              <w:right w:val="nil"/>
            </w:tcBorders>
            <w:shd w:val="clear" w:color="auto" w:fill="auto"/>
            <w:noWrap/>
            <w:hideMark/>
          </w:tcPr>
          <w:p w14:paraId="21A372A1" w14:textId="77777777" w:rsidR="00644AB7" w:rsidRPr="00B35816" w:rsidRDefault="00644AB7" w:rsidP="00644AB7">
            <w:pPr>
              <w:jc w:val="right"/>
              <w:rPr>
                <w:rFonts w:cs="Arial"/>
                <w:color w:val="000000"/>
                <w:sz w:val="24"/>
                <w:szCs w:val="24"/>
              </w:rPr>
            </w:pPr>
            <w:r w:rsidRPr="00B35816">
              <w:rPr>
                <w:rFonts w:cs="Arial"/>
                <w:color w:val="000000"/>
                <w:sz w:val="24"/>
                <w:szCs w:val="24"/>
              </w:rPr>
              <w:t xml:space="preserve">1,633 </w:t>
            </w:r>
          </w:p>
        </w:tc>
        <w:tc>
          <w:tcPr>
            <w:tcW w:w="1300" w:type="dxa"/>
            <w:tcBorders>
              <w:top w:val="nil"/>
              <w:left w:val="nil"/>
              <w:bottom w:val="nil"/>
              <w:right w:val="nil"/>
            </w:tcBorders>
            <w:shd w:val="clear" w:color="auto" w:fill="auto"/>
            <w:noWrap/>
            <w:hideMark/>
          </w:tcPr>
          <w:p w14:paraId="16714FF3" w14:textId="77777777" w:rsidR="00644AB7" w:rsidRPr="00B35816" w:rsidRDefault="00644AB7" w:rsidP="00644AB7">
            <w:pPr>
              <w:jc w:val="right"/>
              <w:rPr>
                <w:rFonts w:cs="Arial"/>
                <w:color w:val="000000"/>
                <w:sz w:val="24"/>
                <w:szCs w:val="24"/>
              </w:rPr>
            </w:pPr>
            <w:r w:rsidRPr="00B35816">
              <w:rPr>
                <w:rFonts w:cs="Arial"/>
                <w:color w:val="000000"/>
                <w:sz w:val="24"/>
                <w:szCs w:val="24"/>
              </w:rPr>
              <w:t xml:space="preserve">1,469 </w:t>
            </w:r>
          </w:p>
        </w:tc>
        <w:tc>
          <w:tcPr>
            <w:tcW w:w="1300" w:type="dxa"/>
            <w:tcBorders>
              <w:top w:val="nil"/>
              <w:left w:val="nil"/>
              <w:bottom w:val="nil"/>
              <w:right w:val="nil"/>
            </w:tcBorders>
            <w:shd w:val="clear" w:color="auto" w:fill="auto"/>
            <w:noWrap/>
            <w:hideMark/>
          </w:tcPr>
          <w:p w14:paraId="1414DF5E" w14:textId="77777777" w:rsidR="00644AB7" w:rsidRPr="00B35816" w:rsidRDefault="00644AB7" w:rsidP="00644AB7">
            <w:pPr>
              <w:jc w:val="right"/>
              <w:rPr>
                <w:rFonts w:cs="Arial"/>
                <w:color w:val="000000"/>
                <w:sz w:val="24"/>
                <w:szCs w:val="24"/>
              </w:rPr>
            </w:pPr>
            <w:r w:rsidRPr="00B35816">
              <w:rPr>
                <w:rFonts w:cs="Arial"/>
                <w:color w:val="000000"/>
                <w:sz w:val="24"/>
                <w:szCs w:val="24"/>
              </w:rPr>
              <w:t xml:space="preserve">1,469 </w:t>
            </w:r>
          </w:p>
        </w:tc>
      </w:tr>
      <w:tr w:rsidR="00644AB7" w:rsidRPr="00B35816" w14:paraId="65CDFB72" w14:textId="77777777" w:rsidTr="00644AB7">
        <w:trPr>
          <w:trHeight w:val="300"/>
        </w:trPr>
        <w:tc>
          <w:tcPr>
            <w:tcW w:w="3800" w:type="dxa"/>
            <w:tcBorders>
              <w:top w:val="nil"/>
              <w:left w:val="nil"/>
              <w:bottom w:val="nil"/>
              <w:right w:val="nil"/>
            </w:tcBorders>
            <w:shd w:val="clear" w:color="auto" w:fill="auto"/>
            <w:noWrap/>
            <w:hideMark/>
          </w:tcPr>
          <w:p w14:paraId="7CEC9A16" w14:textId="77777777" w:rsidR="00644AB7" w:rsidRPr="00B35816" w:rsidRDefault="00644AB7" w:rsidP="00644AB7">
            <w:pPr>
              <w:jc w:val="right"/>
              <w:rPr>
                <w:rFonts w:cs="Arial"/>
                <w:color w:val="000000"/>
                <w:sz w:val="24"/>
                <w:szCs w:val="24"/>
              </w:rPr>
            </w:pPr>
          </w:p>
        </w:tc>
        <w:tc>
          <w:tcPr>
            <w:tcW w:w="1180" w:type="dxa"/>
            <w:tcBorders>
              <w:top w:val="nil"/>
              <w:left w:val="nil"/>
              <w:bottom w:val="nil"/>
              <w:right w:val="nil"/>
            </w:tcBorders>
            <w:shd w:val="clear" w:color="auto" w:fill="auto"/>
            <w:noWrap/>
            <w:hideMark/>
          </w:tcPr>
          <w:p w14:paraId="1BE02EE9" w14:textId="77777777" w:rsidR="00644AB7" w:rsidRPr="00B35816"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0274704C" w14:textId="77777777" w:rsidR="00644AB7" w:rsidRPr="00B35816"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4804CA4F" w14:textId="77777777" w:rsidR="00644AB7" w:rsidRPr="00B35816"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7AD2031A" w14:textId="77777777" w:rsidR="00644AB7" w:rsidRPr="00B35816" w:rsidRDefault="00644AB7" w:rsidP="00644AB7">
            <w:pPr>
              <w:jc w:val="left"/>
              <w:rPr>
                <w:rFonts w:ascii="Times New Roman" w:hAnsi="Times New Roman"/>
                <w:sz w:val="20"/>
                <w:szCs w:val="20"/>
              </w:rPr>
            </w:pPr>
          </w:p>
        </w:tc>
      </w:tr>
      <w:tr w:rsidR="00644AB7" w:rsidRPr="00B35816" w14:paraId="1B8FD4E5" w14:textId="77777777" w:rsidTr="00644AB7">
        <w:trPr>
          <w:trHeight w:val="312"/>
        </w:trPr>
        <w:tc>
          <w:tcPr>
            <w:tcW w:w="3800" w:type="dxa"/>
            <w:tcBorders>
              <w:top w:val="nil"/>
              <w:left w:val="nil"/>
              <w:bottom w:val="nil"/>
              <w:right w:val="nil"/>
            </w:tcBorders>
            <w:shd w:val="clear" w:color="auto" w:fill="auto"/>
            <w:noWrap/>
            <w:hideMark/>
          </w:tcPr>
          <w:p w14:paraId="2A34401F" w14:textId="77777777" w:rsidR="00644AB7" w:rsidRPr="00B35816" w:rsidRDefault="00644AB7" w:rsidP="00644AB7">
            <w:pPr>
              <w:jc w:val="left"/>
              <w:rPr>
                <w:rFonts w:cs="Arial"/>
                <w:b/>
                <w:bCs/>
                <w:color w:val="000000"/>
                <w:sz w:val="24"/>
                <w:szCs w:val="24"/>
              </w:rPr>
            </w:pPr>
            <w:r w:rsidRPr="00B35816">
              <w:rPr>
                <w:rFonts w:cs="Arial"/>
                <w:b/>
                <w:bCs/>
                <w:color w:val="000000"/>
                <w:sz w:val="24"/>
                <w:szCs w:val="24"/>
              </w:rPr>
              <w:t>Funding Requirement</w:t>
            </w:r>
          </w:p>
        </w:tc>
        <w:tc>
          <w:tcPr>
            <w:tcW w:w="1180" w:type="dxa"/>
            <w:tcBorders>
              <w:top w:val="nil"/>
              <w:left w:val="nil"/>
              <w:bottom w:val="nil"/>
              <w:right w:val="nil"/>
            </w:tcBorders>
            <w:shd w:val="clear" w:color="auto" w:fill="auto"/>
            <w:noWrap/>
            <w:hideMark/>
          </w:tcPr>
          <w:p w14:paraId="318CBAD5" w14:textId="77777777" w:rsidR="00644AB7" w:rsidRPr="00B35816" w:rsidRDefault="00644AB7" w:rsidP="00644AB7">
            <w:pPr>
              <w:jc w:val="right"/>
              <w:rPr>
                <w:rFonts w:cs="Arial"/>
                <w:b/>
                <w:bCs/>
                <w:color w:val="000000"/>
                <w:sz w:val="24"/>
                <w:szCs w:val="24"/>
              </w:rPr>
            </w:pPr>
            <w:r w:rsidRPr="00B35816">
              <w:rPr>
                <w:rFonts w:cs="Arial"/>
                <w:b/>
                <w:bCs/>
                <w:color w:val="000000"/>
                <w:sz w:val="24"/>
                <w:szCs w:val="24"/>
              </w:rPr>
              <w:t xml:space="preserve">10,253 </w:t>
            </w:r>
          </w:p>
        </w:tc>
        <w:tc>
          <w:tcPr>
            <w:tcW w:w="1300" w:type="dxa"/>
            <w:tcBorders>
              <w:top w:val="nil"/>
              <w:left w:val="nil"/>
              <w:bottom w:val="nil"/>
              <w:right w:val="nil"/>
            </w:tcBorders>
            <w:shd w:val="clear" w:color="auto" w:fill="auto"/>
            <w:noWrap/>
            <w:hideMark/>
          </w:tcPr>
          <w:p w14:paraId="7EE8417C" w14:textId="77777777" w:rsidR="00644AB7" w:rsidRPr="00B35816" w:rsidRDefault="00644AB7" w:rsidP="00644AB7">
            <w:pPr>
              <w:jc w:val="right"/>
              <w:rPr>
                <w:rFonts w:cs="Arial"/>
                <w:b/>
                <w:bCs/>
                <w:color w:val="000000"/>
                <w:sz w:val="24"/>
                <w:szCs w:val="24"/>
              </w:rPr>
            </w:pPr>
            <w:r w:rsidRPr="00B35816">
              <w:rPr>
                <w:rFonts w:cs="Arial"/>
                <w:b/>
                <w:bCs/>
                <w:color w:val="000000"/>
                <w:sz w:val="24"/>
                <w:szCs w:val="24"/>
              </w:rPr>
              <w:t xml:space="preserve">10,601 </w:t>
            </w:r>
          </w:p>
        </w:tc>
        <w:tc>
          <w:tcPr>
            <w:tcW w:w="1300" w:type="dxa"/>
            <w:tcBorders>
              <w:top w:val="nil"/>
              <w:left w:val="nil"/>
              <w:bottom w:val="nil"/>
              <w:right w:val="nil"/>
            </w:tcBorders>
            <w:shd w:val="clear" w:color="auto" w:fill="auto"/>
            <w:noWrap/>
            <w:hideMark/>
          </w:tcPr>
          <w:p w14:paraId="2F253685" w14:textId="77777777" w:rsidR="00644AB7" w:rsidRPr="00B35816" w:rsidRDefault="00644AB7" w:rsidP="00644AB7">
            <w:pPr>
              <w:jc w:val="right"/>
              <w:rPr>
                <w:rFonts w:cs="Arial"/>
                <w:b/>
                <w:bCs/>
                <w:color w:val="000000"/>
                <w:sz w:val="24"/>
                <w:szCs w:val="24"/>
              </w:rPr>
            </w:pPr>
            <w:r w:rsidRPr="00B35816">
              <w:rPr>
                <w:rFonts w:cs="Arial"/>
                <w:b/>
                <w:bCs/>
                <w:color w:val="000000"/>
                <w:sz w:val="24"/>
                <w:szCs w:val="24"/>
              </w:rPr>
              <w:t xml:space="preserve">10,813 </w:t>
            </w:r>
          </w:p>
        </w:tc>
        <w:tc>
          <w:tcPr>
            <w:tcW w:w="1300" w:type="dxa"/>
            <w:tcBorders>
              <w:top w:val="nil"/>
              <w:left w:val="nil"/>
              <w:bottom w:val="nil"/>
              <w:right w:val="nil"/>
            </w:tcBorders>
            <w:shd w:val="clear" w:color="auto" w:fill="auto"/>
            <w:noWrap/>
            <w:hideMark/>
          </w:tcPr>
          <w:p w14:paraId="41A96B8D" w14:textId="77777777" w:rsidR="00644AB7" w:rsidRPr="00B35816" w:rsidRDefault="00644AB7" w:rsidP="00644AB7">
            <w:pPr>
              <w:jc w:val="right"/>
              <w:rPr>
                <w:rFonts w:cs="Arial"/>
                <w:b/>
                <w:bCs/>
                <w:color w:val="000000"/>
                <w:sz w:val="24"/>
                <w:szCs w:val="24"/>
              </w:rPr>
            </w:pPr>
            <w:r w:rsidRPr="00B35816">
              <w:rPr>
                <w:rFonts w:cs="Arial"/>
                <w:b/>
                <w:bCs/>
                <w:color w:val="000000"/>
                <w:sz w:val="24"/>
                <w:szCs w:val="24"/>
              </w:rPr>
              <w:t xml:space="preserve">10,891 </w:t>
            </w:r>
          </w:p>
        </w:tc>
      </w:tr>
      <w:tr w:rsidR="00644AB7" w:rsidRPr="00B35816" w14:paraId="0A0AF30C" w14:textId="77777777" w:rsidTr="00644AB7">
        <w:trPr>
          <w:trHeight w:val="300"/>
        </w:trPr>
        <w:tc>
          <w:tcPr>
            <w:tcW w:w="3800" w:type="dxa"/>
            <w:tcBorders>
              <w:top w:val="nil"/>
              <w:left w:val="nil"/>
              <w:bottom w:val="nil"/>
              <w:right w:val="nil"/>
            </w:tcBorders>
            <w:shd w:val="clear" w:color="auto" w:fill="auto"/>
            <w:noWrap/>
            <w:hideMark/>
          </w:tcPr>
          <w:p w14:paraId="77E71268" w14:textId="77777777" w:rsidR="00644AB7" w:rsidRPr="00B35816" w:rsidRDefault="00644AB7" w:rsidP="00644AB7">
            <w:pPr>
              <w:jc w:val="right"/>
              <w:rPr>
                <w:rFonts w:cs="Arial"/>
                <w:b/>
                <w:bCs/>
                <w:color w:val="000000"/>
                <w:sz w:val="24"/>
                <w:szCs w:val="24"/>
              </w:rPr>
            </w:pPr>
          </w:p>
        </w:tc>
        <w:tc>
          <w:tcPr>
            <w:tcW w:w="1180" w:type="dxa"/>
            <w:tcBorders>
              <w:top w:val="nil"/>
              <w:left w:val="nil"/>
              <w:bottom w:val="nil"/>
              <w:right w:val="nil"/>
            </w:tcBorders>
            <w:shd w:val="clear" w:color="auto" w:fill="auto"/>
            <w:noWrap/>
            <w:hideMark/>
          </w:tcPr>
          <w:p w14:paraId="76BA08FA" w14:textId="77777777" w:rsidR="00644AB7" w:rsidRPr="00B35816"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59F75FEC" w14:textId="77777777" w:rsidR="00644AB7" w:rsidRPr="00B35816"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0227B961" w14:textId="77777777" w:rsidR="00644AB7" w:rsidRPr="00B35816"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48FF6D25" w14:textId="77777777" w:rsidR="00644AB7" w:rsidRPr="00B35816" w:rsidRDefault="00644AB7" w:rsidP="00644AB7">
            <w:pPr>
              <w:jc w:val="left"/>
              <w:rPr>
                <w:rFonts w:ascii="Times New Roman" w:hAnsi="Times New Roman"/>
                <w:sz w:val="20"/>
                <w:szCs w:val="20"/>
              </w:rPr>
            </w:pPr>
          </w:p>
        </w:tc>
      </w:tr>
      <w:tr w:rsidR="00644AB7" w:rsidRPr="00B35816" w14:paraId="45620276" w14:textId="77777777" w:rsidTr="00644AB7">
        <w:trPr>
          <w:trHeight w:val="312"/>
        </w:trPr>
        <w:tc>
          <w:tcPr>
            <w:tcW w:w="3800" w:type="dxa"/>
            <w:tcBorders>
              <w:top w:val="nil"/>
              <w:left w:val="nil"/>
              <w:bottom w:val="nil"/>
              <w:right w:val="nil"/>
            </w:tcBorders>
            <w:shd w:val="clear" w:color="auto" w:fill="auto"/>
            <w:noWrap/>
            <w:hideMark/>
          </w:tcPr>
          <w:p w14:paraId="611ACC3A" w14:textId="77777777" w:rsidR="00644AB7" w:rsidRPr="00B35816" w:rsidRDefault="00644AB7" w:rsidP="00644AB7">
            <w:pPr>
              <w:jc w:val="left"/>
              <w:rPr>
                <w:rFonts w:cs="Arial"/>
                <w:b/>
                <w:bCs/>
                <w:color w:val="000000"/>
                <w:sz w:val="24"/>
                <w:szCs w:val="24"/>
              </w:rPr>
            </w:pPr>
            <w:r w:rsidRPr="00B35816">
              <w:rPr>
                <w:rFonts w:cs="Arial"/>
                <w:b/>
                <w:bCs/>
                <w:color w:val="000000"/>
                <w:sz w:val="24"/>
                <w:szCs w:val="24"/>
              </w:rPr>
              <w:t>Funded by:</w:t>
            </w:r>
          </w:p>
        </w:tc>
        <w:tc>
          <w:tcPr>
            <w:tcW w:w="1180" w:type="dxa"/>
            <w:tcBorders>
              <w:top w:val="nil"/>
              <w:left w:val="nil"/>
              <w:bottom w:val="nil"/>
              <w:right w:val="nil"/>
            </w:tcBorders>
            <w:shd w:val="clear" w:color="auto" w:fill="auto"/>
            <w:noWrap/>
            <w:hideMark/>
          </w:tcPr>
          <w:p w14:paraId="5C19C81A" w14:textId="77777777" w:rsidR="00644AB7" w:rsidRPr="00B35816" w:rsidRDefault="00644AB7" w:rsidP="00644AB7">
            <w:pPr>
              <w:jc w:val="left"/>
              <w:rPr>
                <w:rFonts w:cs="Arial"/>
                <w:b/>
                <w:bCs/>
                <w:color w:val="000000"/>
                <w:sz w:val="24"/>
                <w:szCs w:val="24"/>
              </w:rPr>
            </w:pPr>
          </w:p>
        </w:tc>
        <w:tc>
          <w:tcPr>
            <w:tcW w:w="1300" w:type="dxa"/>
            <w:tcBorders>
              <w:top w:val="nil"/>
              <w:left w:val="nil"/>
              <w:bottom w:val="nil"/>
              <w:right w:val="nil"/>
            </w:tcBorders>
            <w:shd w:val="clear" w:color="auto" w:fill="auto"/>
            <w:noWrap/>
            <w:hideMark/>
          </w:tcPr>
          <w:p w14:paraId="641E7106" w14:textId="77777777" w:rsidR="00644AB7" w:rsidRPr="00B35816"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7EE2DC60" w14:textId="77777777" w:rsidR="00644AB7" w:rsidRPr="00B35816"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602D4FFA" w14:textId="77777777" w:rsidR="00644AB7" w:rsidRPr="00B35816" w:rsidRDefault="00644AB7" w:rsidP="00644AB7">
            <w:pPr>
              <w:jc w:val="left"/>
              <w:rPr>
                <w:rFonts w:ascii="Times New Roman" w:hAnsi="Times New Roman"/>
                <w:sz w:val="20"/>
                <w:szCs w:val="20"/>
              </w:rPr>
            </w:pPr>
          </w:p>
        </w:tc>
      </w:tr>
      <w:tr w:rsidR="00644AB7" w:rsidRPr="00B35816" w14:paraId="76E29139" w14:textId="77777777" w:rsidTr="00644AB7">
        <w:trPr>
          <w:trHeight w:val="312"/>
        </w:trPr>
        <w:tc>
          <w:tcPr>
            <w:tcW w:w="3800" w:type="dxa"/>
            <w:tcBorders>
              <w:top w:val="nil"/>
              <w:left w:val="nil"/>
              <w:bottom w:val="nil"/>
              <w:right w:val="nil"/>
            </w:tcBorders>
            <w:shd w:val="clear" w:color="auto" w:fill="auto"/>
            <w:noWrap/>
            <w:hideMark/>
          </w:tcPr>
          <w:p w14:paraId="5C053E22" w14:textId="77777777" w:rsidR="00644AB7" w:rsidRPr="00B35816" w:rsidRDefault="00644AB7" w:rsidP="00644AB7">
            <w:pPr>
              <w:jc w:val="left"/>
              <w:rPr>
                <w:rFonts w:cs="Arial"/>
                <w:b/>
                <w:bCs/>
                <w:color w:val="000000"/>
                <w:sz w:val="24"/>
                <w:szCs w:val="24"/>
              </w:rPr>
            </w:pPr>
            <w:r w:rsidRPr="00B35816">
              <w:rPr>
                <w:rFonts w:cs="Arial"/>
                <w:b/>
                <w:bCs/>
                <w:color w:val="000000"/>
                <w:sz w:val="24"/>
                <w:szCs w:val="24"/>
              </w:rPr>
              <w:t>External Funding</w:t>
            </w:r>
          </w:p>
        </w:tc>
        <w:tc>
          <w:tcPr>
            <w:tcW w:w="1180" w:type="dxa"/>
            <w:tcBorders>
              <w:top w:val="nil"/>
              <w:left w:val="nil"/>
              <w:bottom w:val="nil"/>
              <w:right w:val="nil"/>
            </w:tcBorders>
            <w:shd w:val="clear" w:color="auto" w:fill="auto"/>
            <w:noWrap/>
            <w:hideMark/>
          </w:tcPr>
          <w:p w14:paraId="502D9350" w14:textId="77777777" w:rsidR="00644AB7" w:rsidRPr="00B35816" w:rsidRDefault="00644AB7" w:rsidP="00644AB7">
            <w:pPr>
              <w:jc w:val="left"/>
              <w:rPr>
                <w:rFonts w:cs="Arial"/>
                <w:b/>
                <w:bCs/>
                <w:color w:val="000000"/>
                <w:sz w:val="24"/>
                <w:szCs w:val="24"/>
              </w:rPr>
            </w:pPr>
          </w:p>
        </w:tc>
        <w:tc>
          <w:tcPr>
            <w:tcW w:w="1300" w:type="dxa"/>
            <w:tcBorders>
              <w:top w:val="nil"/>
              <w:left w:val="nil"/>
              <w:bottom w:val="nil"/>
              <w:right w:val="nil"/>
            </w:tcBorders>
            <w:shd w:val="clear" w:color="auto" w:fill="auto"/>
            <w:noWrap/>
            <w:hideMark/>
          </w:tcPr>
          <w:p w14:paraId="7F7952A7" w14:textId="77777777" w:rsidR="00644AB7" w:rsidRPr="00B35816"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6C64D4C4" w14:textId="77777777" w:rsidR="00644AB7" w:rsidRPr="00B35816"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73434608" w14:textId="77777777" w:rsidR="00644AB7" w:rsidRPr="00B35816" w:rsidRDefault="00644AB7" w:rsidP="00644AB7">
            <w:pPr>
              <w:jc w:val="left"/>
              <w:rPr>
                <w:rFonts w:ascii="Times New Roman" w:hAnsi="Times New Roman"/>
                <w:sz w:val="20"/>
                <w:szCs w:val="20"/>
              </w:rPr>
            </w:pPr>
          </w:p>
        </w:tc>
      </w:tr>
      <w:tr w:rsidR="00644AB7" w:rsidRPr="00B35816" w14:paraId="41D2379B" w14:textId="77777777" w:rsidTr="00644AB7">
        <w:trPr>
          <w:trHeight w:val="300"/>
        </w:trPr>
        <w:tc>
          <w:tcPr>
            <w:tcW w:w="3800" w:type="dxa"/>
            <w:tcBorders>
              <w:top w:val="nil"/>
              <w:left w:val="nil"/>
              <w:bottom w:val="nil"/>
              <w:right w:val="nil"/>
            </w:tcBorders>
            <w:shd w:val="clear" w:color="auto" w:fill="auto"/>
            <w:noWrap/>
            <w:hideMark/>
          </w:tcPr>
          <w:p w14:paraId="6CEA1C55" w14:textId="77777777" w:rsidR="00644AB7" w:rsidRPr="00B35816" w:rsidRDefault="00644AB7" w:rsidP="00644AB7">
            <w:pPr>
              <w:jc w:val="left"/>
              <w:rPr>
                <w:rFonts w:cs="Arial"/>
                <w:color w:val="000000"/>
                <w:sz w:val="24"/>
                <w:szCs w:val="24"/>
              </w:rPr>
            </w:pPr>
            <w:r w:rsidRPr="00B35816">
              <w:rPr>
                <w:rFonts w:cs="Arial"/>
                <w:color w:val="000000"/>
                <w:sz w:val="24"/>
                <w:szCs w:val="24"/>
              </w:rPr>
              <w:t>Retained Business Rates</w:t>
            </w:r>
          </w:p>
        </w:tc>
        <w:tc>
          <w:tcPr>
            <w:tcW w:w="1180" w:type="dxa"/>
            <w:tcBorders>
              <w:top w:val="nil"/>
              <w:left w:val="nil"/>
              <w:bottom w:val="nil"/>
              <w:right w:val="nil"/>
            </w:tcBorders>
            <w:shd w:val="clear" w:color="auto" w:fill="auto"/>
            <w:noWrap/>
            <w:hideMark/>
          </w:tcPr>
          <w:p w14:paraId="6C4DE6FB" w14:textId="77777777" w:rsidR="00644AB7" w:rsidRPr="00B35816" w:rsidRDefault="00644AB7" w:rsidP="00644AB7">
            <w:pPr>
              <w:jc w:val="right"/>
              <w:rPr>
                <w:rFonts w:cs="Arial"/>
                <w:color w:val="000000"/>
                <w:sz w:val="24"/>
                <w:szCs w:val="24"/>
              </w:rPr>
            </w:pPr>
            <w:r w:rsidRPr="00B35816">
              <w:rPr>
                <w:rFonts w:cs="Arial"/>
                <w:color w:val="000000"/>
                <w:sz w:val="24"/>
                <w:szCs w:val="24"/>
              </w:rPr>
              <w:t>(3,689)</w:t>
            </w:r>
          </w:p>
        </w:tc>
        <w:tc>
          <w:tcPr>
            <w:tcW w:w="1300" w:type="dxa"/>
            <w:tcBorders>
              <w:top w:val="nil"/>
              <w:left w:val="nil"/>
              <w:bottom w:val="nil"/>
              <w:right w:val="nil"/>
            </w:tcBorders>
            <w:shd w:val="clear" w:color="auto" w:fill="auto"/>
            <w:noWrap/>
            <w:hideMark/>
          </w:tcPr>
          <w:p w14:paraId="03A32000" w14:textId="77777777" w:rsidR="00644AB7" w:rsidRPr="00B35816" w:rsidRDefault="00644AB7" w:rsidP="00644AB7">
            <w:pPr>
              <w:jc w:val="right"/>
              <w:rPr>
                <w:rFonts w:cs="Arial"/>
                <w:color w:val="000000"/>
                <w:sz w:val="24"/>
                <w:szCs w:val="24"/>
              </w:rPr>
            </w:pPr>
            <w:r w:rsidRPr="00B35816">
              <w:rPr>
                <w:rFonts w:cs="Arial"/>
                <w:color w:val="000000"/>
                <w:sz w:val="24"/>
                <w:szCs w:val="24"/>
              </w:rPr>
              <w:t>(4,073)</w:t>
            </w:r>
          </w:p>
        </w:tc>
        <w:tc>
          <w:tcPr>
            <w:tcW w:w="1300" w:type="dxa"/>
            <w:tcBorders>
              <w:top w:val="nil"/>
              <w:left w:val="nil"/>
              <w:bottom w:val="nil"/>
              <w:right w:val="nil"/>
            </w:tcBorders>
            <w:shd w:val="clear" w:color="auto" w:fill="auto"/>
            <w:noWrap/>
            <w:hideMark/>
          </w:tcPr>
          <w:p w14:paraId="240F5A5F" w14:textId="77777777" w:rsidR="00644AB7" w:rsidRPr="00B35816" w:rsidRDefault="00644AB7" w:rsidP="00644AB7">
            <w:pPr>
              <w:jc w:val="right"/>
              <w:rPr>
                <w:rFonts w:cs="Arial"/>
                <w:color w:val="000000"/>
                <w:sz w:val="24"/>
                <w:szCs w:val="24"/>
              </w:rPr>
            </w:pPr>
            <w:r w:rsidRPr="00B35816">
              <w:rPr>
                <w:rFonts w:cs="Arial"/>
                <w:color w:val="000000"/>
                <w:sz w:val="24"/>
                <w:szCs w:val="24"/>
              </w:rPr>
              <w:t>(4,111)</w:t>
            </w:r>
          </w:p>
        </w:tc>
        <w:tc>
          <w:tcPr>
            <w:tcW w:w="1300" w:type="dxa"/>
            <w:tcBorders>
              <w:top w:val="nil"/>
              <w:left w:val="nil"/>
              <w:bottom w:val="nil"/>
              <w:right w:val="nil"/>
            </w:tcBorders>
            <w:shd w:val="clear" w:color="auto" w:fill="auto"/>
            <w:noWrap/>
            <w:hideMark/>
          </w:tcPr>
          <w:p w14:paraId="7C0AB517" w14:textId="77777777" w:rsidR="00644AB7" w:rsidRPr="00B35816" w:rsidRDefault="00644AB7" w:rsidP="00644AB7">
            <w:pPr>
              <w:jc w:val="right"/>
              <w:rPr>
                <w:rFonts w:cs="Arial"/>
                <w:color w:val="000000"/>
                <w:sz w:val="24"/>
                <w:szCs w:val="24"/>
              </w:rPr>
            </w:pPr>
            <w:r w:rsidRPr="00B35816">
              <w:rPr>
                <w:rFonts w:cs="Arial"/>
                <w:color w:val="000000"/>
                <w:sz w:val="24"/>
                <w:szCs w:val="24"/>
              </w:rPr>
              <w:t>(4,111)</w:t>
            </w:r>
          </w:p>
        </w:tc>
      </w:tr>
      <w:tr w:rsidR="00644AB7" w:rsidRPr="00B35816" w14:paraId="5F500C88" w14:textId="77777777" w:rsidTr="00B35816">
        <w:trPr>
          <w:trHeight w:val="300"/>
        </w:trPr>
        <w:tc>
          <w:tcPr>
            <w:tcW w:w="3800" w:type="dxa"/>
            <w:tcBorders>
              <w:top w:val="nil"/>
              <w:left w:val="nil"/>
              <w:bottom w:val="nil"/>
              <w:right w:val="nil"/>
            </w:tcBorders>
            <w:shd w:val="clear" w:color="auto" w:fill="auto"/>
            <w:noWrap/>
            <w:hideMark/>
          </w:tcPr>
          <w:p w14:paraId="38ABFFB7" w14:textId="77777777" w:rsidR="00644AB7" w:rsidRPr="00B35816" w:rsidRDefault="00644AB7" w:rsidP="00644AB7">
            <w:pPr>
              <w:jc w:val="left"/>
              <w:rPr>
                <w:rFonts w:cs="Arial"/>
                <w:color w:val="000000"/>
                <w:sz w:val="24"/>
                <w:szCs w:val="24"/>
              </w:rPr>
            </w:pPr>
            <w:r w:rsidRPr="00B35816">
              <w:rPr>
                <w:rFonts w:cs="Arial"/>
                <w:color w:val="000000"/>
                <w:sz w:val="24"/>
                <w:szCs w:val="24"/>
              </w:rPr>
              <w:t>New Homes Bonus</w:t>
            </w:r>
          </w:p>
        </w:tc>
        <w:tc>
          <w:tcPr>
            <w:tcW w:w="1180" w:type="dxa"/>
            <w:tcBorders>
              <w:top w:val="nil"/>
              <w:left w:val="nil"/>
              <w:bottom w:val="nil"/>
              <w:right w:val="nil"/>
            </w:tcBorders>
            <w:shd w:val="clear" w:color="auto" w:fill="auto"/>
            <w:noWrap/>
            <w:hideMark/>
          </w:tcPr>
          <w:p w14:paraId="397DD11E" w14:textId="77777777" w:rsidR="00644AB7" w:rsidRPr="00B35816" w:rsidRDefault="00644AB7" w:rsidP="00644AB7">
            <w:pPr>
              <w:jc w:val="right"/>
              <w:rPr>
                <w:rFonts w:cs="Arial"/>
                <w:color w:val="000000"/>
                <w:sz w:val="24"/>
                <w:szCs w:val="24"/>
              </w:rPr>
            </w:pPr>
            <w:r w:rsidRPr="00B35816">
              <w:rPr>
                <w:rFonts w:cs="Arial"/>
                <w:color w:val="000000"/>
                <w:sz w:val="24"/>
                <w:szCs w:val="24"/>
              </w:rPr>
              <w:t>(631)</w:t>
            </w:r>
          </w:p>
        </w:tc>
        <w:tc>
          <w:tcPr>
            <w:tcW w:w="1300" w:type="dxa"/>
            <w:tcBorders>
              <w:top w:val="nil"/>
              <w:left w:val="nil"/>
              <w:bottom w:val="nil"/>
              <w:right w:val="nil"/>
            </w:tcBorders>
            <w:shd w:val="clear" w:color="auto" w:fill="auto"/>
            <w:noWrap/>
            <w:hideMark/>
          </w:tcPr>
          <w:p w14:paraId="2ACC4A3C" w14:textId="77777777" w:rsidR="00644AB7" w:rsidRPr="00B35816" w:rsidRDefault="00644AB7" w:rsidP="00644AB7">
            <w:pPr>
              <w:jc w:val="right"/>
              <w:rPr>
                <w:rFonts w:cs="Arial"/>
                <w:color w:val="000000"/>
                <w:sz w:val="24"/>
                <w:szCs w:val="24"/>
              </w:rPr>
            </w:pPr>
            <w:r w:rsidRPr="00B35816">
              <w:rPr>
                <w:rFonts w:cs="Arial"/>
                <w:color w:val="000000"/>
                <w:sz w:val="24"/>
                <w:szCs w:val="24"/>
              </w:rPr>
              <w:t>(268)</w:t>
            </w:r>
          </w:p>
        </w:tc>
        <w:tc>
          <w:tcPr>
            <w:tcW w:w="1300" w:type="dxa"/>
            <w:tcBorders>
              <w:top w:val="nil"/>
              <w:left w:val="nil"/>
              <w:bottom w:val="nil"/>
              <w:right w:val="nil"/>
            </w:tcBorders>
            <w:shd w:val="clear" w:color="auto" w:fill="auto"/>
            <w:noWrap/>
            <w:hideMark/>
          </w:tcPr>
          <w:p w14:paraId="7A48AD92" w14:textId="77777777" w:rsidR="00644AB7" w:rsidRPr="00B35816" w:rsidRDefault="00644AB7" w:rsidP="00644AB7">
            <w:pPr>
              <w:jc w:val="right"/>
              <w:rPr>
                <w:rFonts w:cs="Arial"/>
                <w:color w:val="000000"/>
                <w:sz w:val="24"/>
                <w:szCs w:val="24"/>
              </w:rPr>
            </w:pPr>
            <w:r w:rsidRPr="00B35816">
              <w:rPr>
                <w:rFonts w:cs="Arial"/>
                <w:color w:val="000000"/>
                <w:sz w:val="24"/>
                <w:szCs w:val="24"/>
              </w:rPr>
              <w:t xml:space="preserve">0 </w:t>
            </w:r>
          </w:p>
        </w:tc>
        <w:tc>
          <w:tcPr>
            <w:tcW w:w="1300" w:type="dxa"/>
            <w:tcBorders>
              <w:top w:val="nil"/>
              <w:left w:val="nil"/>
              <w:bottom w:val="nil"/>
              <w:right w:val="nil"/>
            </w:tcBorders>
            <w:shd w:val="clear" w:color="auto" w:fill="auto"/>
            <w:noWrap/>
            <w:hideMark/>
          </w:tcPr>
          <w:p w14:paraId="5137A8B5" w14:textId="77777777" w:rsidR="00644AB7" w:rsidRPr="00B35816" w:rsidRDefault="00644AB7" w:rsidP="00644AB7">
            <w:pPr>
              <w:jc w:val="right"/>
              <w:rPr>
                <w:rFonts w:cs="Arial"/>
                <w:color w:val="000000"/>
                <w:sz w:val="24"/>
                <w:szCs w:val="24"/>
              </w:rPr>
            </w:pPr>
            <w:r w:rsidRPr="00B35816">
              <w:rPr>
                <w:rFonts w:cs="Arial"/>
                <w:color w:val="000000"/>
                <w:sz w:val="24"/>
                <w:szCs w:val="24"/>
              </w:rPr>
              <w:t xml:space="preserve">0 </w:t>
            </w:r>
          </w:p>
        </w:tc>
      </w:tr>
      <w:tr w:rsidR="00644AB7" w:rsidRPr="00B35816" w14:paraId="21BC46A4" w14:textId="77777777" w:rsidTr="00B35816">
        <w:trPr>
          <w:trHeight w:val="300"/>
        </w:trPr>
        <w:tc>
          <w:tcPr>
            <w:tcW w:w="3800" w:type="dxa"/>
            <w:tcBorders>
              <w:top w:val="nil"/>
              <w:left w:val="nil"/>
              <w:bottom w:val="nil"/>
              <w:right w:val="nil"/>
            </w:tcBorders>
            <w:shd w:val="clear" w:color="auto" w:fill="auto"/>
            <w:noWrap/>
            <w:hideMark/>
          </w:tcPr>
          <w:p w14:paraId="1CFDA303" w14:textId="77777777" w:rsidR="00644AB7" w:rsidRPr="00B35816" w:rsidRDefault="00644AB7" w:rsidP="00644AB7">
            <w:pPr>
              <w:jc w:val="left"/>
              <w:rPr>
                <w:rFonts w:cs="Arial"/>
                <w:color w:val="000000"/>
                <w:sz w:val="24"/>
                <w:szCs w:val="24"/>
              </w:rPr>
            </w:pPr>
            <w:r w:rsidRPr="00B35816">
              <w:rPr>
                <w:rFonts w:cs="Arial"/>
                <w:color w:val="000000"/>
                <w:sz w:val="24"/>
                <w:szCs w:val="24"/>
              </w:rPr>
              <w:t>Revenue Support Grant</w:t>
            </w:r>
          </w:p>
        </w:tc>
        <w:tc>
          <w:tcPr>
            <w:tcW w:w="1180" w:type="dxa"/>
            <w:tcBorders>
              <w:top w:val="nil"/>
              <w:left w:val="nil"/>
              <w:bottom w:val="nil"/>
              <w:right w:val="nil"/>
            </w:tcBorders>
            <w:shd w:val="clear" w:color="auto" w:fill="auto"/>
            <w:noWrap/>
            <w:hideMark/>
          </w:tcPr>
          <w:p w14:paraId="49636941" w14:textId="77777777" w:rsidR="00644AB7" w:rsidRPr="00B35816" w:rsidRDefault="00644AB7" w:rsidP="00644AB7">
            <w:pPr>
              <w:jc w:val="right"/>
              <w:rPr>
                <w:rFonts w:cs="Arial"/>
                <w:color w:val="000000"/>
                <w:sz w:val="24"/>
                <w:szCs w:val="24"/>
              </w:rPr>
            </w:pPr>
            <w:r w:rsidRPr="00B35816">
              <w:rPr>
                <w:rFonts w:cs="Arial"/>
                <w:color w:val="000000"/>
                <w:sz w:val="24"/>
                <w:szCs w:val="24"/>
              </w:rPr>
              <w:t>(249)</w:t>
            </w:r>
          </w:p>
        </w:tc>
        <w:tc>
          <w:tcPr>
            <w:tcW w:w="1300" w:type="dxa"/>
            <w:tcBorders>
              <w:top w:val="nil"/>
              <w:left w:val="nil"/>
              <w:bottom w:val="nil"/>
              <w:right w:val="nil"/>
            </w:tcBorders>
            <w:shd w:val="clear" w:color="auto" w:fill="auto"/>
            <w:noWrap/>
            <w:hideMark/>
          </w:tcPr>
          <w:p w14:paraId="05C9C12D" w14:textId="77777777" w:rsidR="00644AB7" w:rsidRPr="00B35816" w:rsidRDefault="00644AB7" w:rsidP="00644AB7">
            <w:pPr>
              <w:jc w:val="right"/>
              <w:rPr>
                <w:rFonts w:cs="Arial"/>
                <w:color w:val="000000"/>
                <w:sz w:val="24"/>
                <w:szCs w:val="24"/>
              </w:rPr>
            </w:pPr>
            <w:r w:rsidRPr="00B35816">
              <w:rPr>
                <w:rFonts w:cs="Arial"/>
                <w:color w:val="000000"/>
                <w:sz w:val="24"/>
                <w:szCs w:val="24"/>
              </w:rPr>
              <w:t>(250)</w:t>
            </w:r>
          </w:p>
        </w:tc>
        <w:tc>
          <w:tcPr>
            <w:tcW w:w="1300" w:type="dxa"/>
            <w:tcBorders>
              <w:top w:val="nil"/>
              <w:left w:val="nil"/>
              <w:bottom w:val="nil"/>
              <w:right w:val="nil"/>
            </w:tcBorders>
            <w:shd w:val="clear" w:color="auto" w:fill="auto"/>
            <w:noWrap/>
            <w:hideMark/>
          </w:tcPr>
          <w:p w14:paraId="280497AB" w14:textId="77777777" w:rsidR="00644AB7" w:rsidRPr="00B35816" w:rsidRDefault="00644AB7" w:rsidP="00644AB7">
            <w:pPr>
              <w:jc w:val="right"/>
              <w:rPr>
                <w:rFonts w:cs="Arial"/>
                <w:color w:val="000000"/>
                <w:sz w:val="24"/>
                <w:szCs w:val="24"/>
              </w:rPr>
            </w:pPr>
            <w:r w:rsidRPr="00B35816">
              <w:rPr>
                <w:rFonts w:cs="Arial"/>
                <w:color w:val="000000"/>
                <w:sz w:val="24"/>
                <w:szCs w:val="24"/>
              </w:rPr>
              <w:t xml:space="preserve">0 </w:t>
            </w:r>
          </w:p>
        </w:tc>
        <w:tc>
          <w:tcPr>
            <w:tcW w:w="1300" w:type="dxa"/>
            <w:tcBorders>
              <w:top w:val="nil"/>
              <w:left w:val="nil"/>
              <w:bottom w:val="nil"/>
              <w:right w:val="nil"/>
            </w:tcBorders>
            <w:shd w:val="clear" w:color="auto" w:fill="auto"/>
            <w:noWrap/>
            <w:hideMark/>
          </w:tcPr>
          <w:p w14:paraId="533B3710" w14:textId="77777777" w:rsidR="00644AB7" w:rsidRPr="00B35816" w:rsidRDefault="00644AB7" w:rsidP="00644AB7">
            <w:pPr>
              <w:jc w:val="right"/>
              <w:rPr>
                <w:rFonts w:cs="Arial"/>
                <w:color w:val="000000"/>
                <w:sz w:val="24"/>
                <w:szCs w:val="24"/>
              </w:rPr>
            </w:pPr>
            <w:r w:rsidRPr="00B35816">
              <w:rPr>
                <w:rFonts w:cs="Arial"/>
                <w:color w:val="000000"/>
                <w:sz w:val="24"/>
                <w:szCs w:val="24"/>
              </w:rPr>
              <w:t xml:space="preserve">0 </w:t>
            </w:r>
          </w:p>
        </w:tc>
      </w:tr>
      <w:tr w:rsidR="00644AB7" w:rsidRPr="00B35816" w14:paraId="60978B44" w14:textId="77777777" w:rsidTr="00B35816">
        <w:trPr>
          <w:trHeight w:val="300"/>
        </w:trPr>
        <w:tc>
          <w:tcPr>
            <w:tcW w:w="3800" w:type="dxa"/>
            <w:tcBorders>
              <w:top w:val="nil"/>
              <w:left w:val="nil"/>
              <w:bottom w:val="nil"/>
              <w:right w:val="nil"/>
            </w:tcBorders>
            <w:shd w:val="clear" w:color="auto" w:fill="auto"/>
            <w:noWrap/>
            <w:hideMark/>
          </w:tcPr>
          <w:p w14:paraId="4EEED5A6" w14:textId="77777777" w:rsidR="00644AB7" w:rsidRPr="00B35816" w:rsidRDefault="00644AB7" w:rsidP="00644AB7">
            <w:pPr>
              <w:jc w:val="left"/>
              <w:rPr>
                <w:rFonts w:cs="Arial"/>
                <w:color w:val="000000"/>
                <w:sz w:val="24"/>
                <w:szCs w:val="24"/>
              </w:rPr>
            </w:pPr>
            <w:r w:rsidRPr="00B35816">
              <w:rPr>
                <w:rFonts w:cs="Arial"/>
                <w:color w:val="000000"/>
                <w:sz w:val="24"/>
                <w:szCs w:val="24"/>
              </w:rPr>
              <w:t>Lower Tier Services Grant</w:t>
            </w:r>
          </w:p>
        </w:tc>
        <w:tc>
          <w:tcPr>
            <w:tcW w:w="1180" w:type="dxa"/>
            <w:tcBorders>
              <w:top w:val="nil"/>
              <w:left w:val="nil"/>
              <w:bottom w:val="nil"/>
              <w:right w:val="nil"/>
            </w:tcBorders>
            <w:shd w:val="clear" w:color="auto" w:fill="auto"/>
            <w:noWrap/>
            <w:hideMark/>
          </w:tcPr>
          <w:p w14:paraId="3B871380" w14:textId="77777777" w:rsidR="00644AB7" w:rsidRPr="00B35816" w:rsidRDefault="00644AB7" w:rsidP="00644AB7">
            <w:pPr>
              <w:jc w:val="right"/>
              <w:rPr>
                <w:rFonts w:cs="Arial"/>
                <w:color w:val="000000"/>
                <w:sz w:val="24"/>
                <w:szCs w:val="24"/>
              </w:rPr>
            </w:pPr>
            <w:r w:rsidRPr="00B35816">
              <w:rPr>
                <w:rFonts w:cs="Arial"/>
                <w:color w:val="000000"/>
                <w:sz w:val="24"/>
                <w:szCs w:val="24"/>
              </w:rPr>
              <w:t xml:space="preserve">0 </w:t>
            </w:r>
          </w:p>
        </w:tc>
        <w:tc>
          <w:tcPr>
            <w:tcW w:w="1300" w:type="dxa"/>
            <w:tcBorders>
              <w:top w:val="nil"/>
              <w:left w:val="nil"/>
              <w:bottom w:val="nil"/>
              <w:right w:val="nil"/>
            </w:tcBorders>
            <w:shd w:val="clear" w:color="auto" w:fill="auto"/>
            <w:noWrap/>
            <w:hideMark/>
          </w:tcPr>
          <w:p w14:paraId="4803F94E" w14:textId="77777777" w:rsidR="00644AB7" w:rsidRPr="00B35816" w:rsidRDefault="00644AB7" w:rsidP="00644AB7">
            <w:pPr>
              <w:jc w:val="right"/>
              <w:rPr>
                <w:rFonts w:cs="Arial"/>
                <w:color w:val="000000"/>
                <w:sz w:val="24"/>
                <w:szCs w:val="24"/>
              </w:rPr>
            </w:pPr>
            <w:r w:rsidRPr="00B35816">
              <w:rPr>
                <w:rFonts w:cs="Arial"/>
                <w:color w:val="000000"/>
                <w:sz w:val="24"/>
                <w:szCs w:val="24"/>
              </w:rPr>
              <w:t>(159)</w:t>
            </w:r>
          </w:p>
        </w:tc>
        <w:tc>
          <w:tcPr>
            <w:tcW w:w="1300" w:type="dxa"/>
            <w:tcBorders>
              <w:top w:val="nil"/>
              <w:left w:val="nil"/>
              <w:bottom w:val="nil"/>
              <w:right w:val="nil"/>
            </w:tcBorders>
            <w:shd w:val="clear" w:color="auto" w:fill="auto"/>
            <w:noWrap/>
            <w:hideMark/>
          </w:tcPr>
          <w:p w14:paraId="5B7FFD13" w14:textId="77777777" w:rsidR="00644AB7" w:rsidRPr="00B35816" w:rsidRDefault="00644AB7" w:rsidP="00644AB7">
            <w:pPr>
              <w:jc w:val="right"/>
              <w:rPr>
                <w:rFonts w:cs="Arial"/>
                <w:color w:val="000000"/>
                <w:sz w:val="24"/>
                <w:szCs w:val="24"/>
              </w:rPr>
            </w:pPr>
            <w:r w:rsidRPr="00B35816">
              <w:rPr>
                <w:rFonts w:cs="Arial"/>
                <w:color w:val="000000"/>
                <w:sz w:val="24"/>
                <w:szCs w:val="24"/>
              </w:rPr>
              <w:t xml:space="preserve">0 </w:t>
            </w:r>
          </w:p>
        </w:tc>
        <w:tc>
          <w:tcPr>
            <w:tcW w:w="1300" w:type="dxa"/>
            <w:tcBorders>
              <w:top w:val="nil"/>
              <w:left w:val="nil"/>
              <w:bottom w:val="nil"/>
              <w:right w:val="nil"/>
            </w:tcBorders>
            <w:shd w:val="clear" w:color="auto" w:fill="auto"/>
            <w:noWrap/>
            <w:hideMark/>
          </w:tcPr>
          <w:p w14:paraId="581CB6A4" w14:textId="77777777" w:rsidR="00644AB7" w:rsidRPr="00B35816" w:rsidRDefault="00644AB7" w:rsidP="00644AB7">
            <w:pPr>
              <w:jc w:val="right"/>
              <w:rPr>
                <w:rFonts w:cs="Arial"/>
                <w:color w:val="000000"/>
                <w:sz w:val="24"/>
                <w:szCs w:val="24"/>
              </w:rPr>
            </w:pPr>
            <w:r w:rsidRPr="00B35816">
              <w:rPr>
                <w:rFonts w:cs="Arial"/>
                <w:color w:val="000000"/>
                <w:sz w:val="24"/>
                <w:szCs w:val="24"/>
              </w:rPr>
              <w:t xml:space="preserve">0 </w:t>
            </w:r>
          </w:p>
        </w:tc>
      </w:tr>
      <w:tr w:rsidR="00644AB7" w:rsidRPr="00B35816" w14:paraId="78541562" w14:textId="77777777" w:rsidTr="00644AB7">
        <w:trPr>
          <w:trHeight w:val="312"/>
        </w:trPr>
        <w:tc>
          <w:tcPr>
            <w:tcW w:w="3800" w:type="dxa"/>
            <w:tcBorders>
              <w:top w:val="nil"/>
              <w:left w:val="nil"/>
              <w:bottom w:val="nil"/>
              <w:right w:val="nil"/>
            </w:tcBorders>
            <w:shd w:val="clear" w:color="auto" w:fill="auto"/>
            <w:noWrap/>
            <w:hideMark/>
          </w:tcPr>
          <w:p w14:paraId="30C699CE" w14:textId="77777777" w:rsidR="00644AB7" w:rsidRPr="00B35816" w:rsidRDefault="00644AB7" w:rsidP="00644AB7">
            <w:pPr>
              <w:jc w:val="right"/>
              <w:rPr>
                <w:rFonts w:cs="Arial"/>
                <w:color w:val="000000"/>
                <w:sz w:val="24"/>
                <w:szCs w:val="24"/>
              </w:rPr>
            </w:pPr>
          </w:p>
        </w:tc>
        <w:tc>
          <w:tcPr>
            <w:tcW w:w="1180" w:type="dxa"/>
            <w:tcBorders>
              <w:top w:val="nil"/>
              <w:left w:val="nil"/>
              <w:bottom w:val="nil"/>
              <w:right w:val="nil"/>
            </w:tcBorders>
            <w:shd w:val="clear" w:color="auto" w:fill="auto"/>
            <w:noWrap/>
            <w:hideMark/>
          </w:tcPr>
          <w:p w14:paraId="4E072F1B" w14:textId="77777777" w:rsidR="00644AB7" w:rsidRPr="00B35816" w:rsidRDefault="00644AB7" w:rsidP="00644AB7">
            <w:pPr>
              <w:jc w:val="right"/>
              <w:rPr>
                <w:rFonts w:cs="Arial"/>
                <w:b/>
                <w:bCs/>
                <w:color w:val="000000"/>
                <w:sz w:val="24"/>
                <w:szCs w:val="24"/>
              </w:rPr>
            </w:pPr>
            <w:r w:rsidRPr="00B35816">
              <w:rPr>
                <w:rFonts w:cs="Arial"/>
                <w:b/>
                <w:bCs/>
                <w:color w:val="000000"/>
                <w:sz w:val="24"/>
                <w:szCs w:val="24"/>
              </w:rPr>
              <w:t>(4,569)</w:t>
            </w:r>
          </w:p>
        </w:tc>
        <w:tc>
          <w:tcPr>
            <w:tcW w:w="1300" w:type="dxa"/>
            <w:tcBorders>
              <w:top w:val="nil"/>
              <w:left w:val="nil"/>
              <w:bottom w:val="nil"/>
              <w:right w:val="nil"/>
            </w:tcBorders>
            <w:shd w:val="clear" w:color="auto" w:fill="auto"/>
            <w:noWrap/>
            <w:hideMark/>
          </w:tcPr>
          <w:p w14:paraId="04A6EC4A" w14:textId="77777777" w:rsidR="00644AB7" w:rsidRPr="00B35816" w:rsidRDefault="00644AB7" w:rsidP="00644AB7">
            <w:pPr>
              <w:jc w:val="right"/>
              <w:rPr>
                <w:rFonts w:cs="Arial"/>
                <w:b/>
                <w:bCs/>
                <w:color w:val="000000"/>
                <w:sz w:val="24"/>
                <w:szCs w:val="24"/>
              </w:rPr>
            </w:pPr>
            <w:r w:rsidRPr="00B35816">
              <w:rPr>
                <w:rFonts w:cs="Arial"/>
                <w:b/>
                <w:bCs/>
                <w:color w:val="000000"/>
                <w:sz w:val="24"/>
                <w:szCs w:val="24"/>
              </w:rPr>
              <w:t>(4,750)</w:t>
            </w:r>
          </w:p>
        </w:tc>
        <w:tc>
          <w:tcPr>
            <w:tcW w:w="1300" w:type="dxa"/>
            <w:tcBorders>
              <w:top w:val="nil"/>
              <w:left w:val="nil"/>
              <w:bottom w:val="nil"/>
              <w:right w:val="nil"/>
            </w:tcBorders>
            <w:shd w:val="clear" w:color="auto" w:fill="auto"/>
            <w:noWrap/>
            <w:hideMark/>
          </w:tcPr>
          <w:p w14:paraId="12C37F52" w14:textId="77777777" w:rsidR="00644AB7" w:rsidRPr="00B35816" w:rsidRDefault="00644AB7" w:rsidP="00644AB7">
            <w:pPr>
              <w:jc w:val="right"/>
              <w:rPr>
                <w:rFonts w:cs="Arial"/>
                <w:b/>
                <w:bCs/>
                <w:color w:val="000000"/>
                <w:sz w:val="24"/>
                <w:szCs w:val="24"/>
              </w:rPr>
            </w:pPr>
            <w:r w:rsidRPr="00B35816">
              <w:rPr>
                <w:rFonts w:cs="Arial"/>
                <w:b/>
                <w:bCs/>
                <w:color w:val="000000"/>
                <w:sz w:val="24"/>
                <w:szCs w:val="24"/>
              </w:rPr>
              <w:t>(4,111)</w:t>
            </w:r>
          </w:p>
        </w:tc>
        <w:tc>
          <w:tcPr>
            <w:tcW w:w="1300" w:type="dxa"/>
            <w:tcBorders>
              <w:top w:val="nil"/>
              <w:left w:val="nil"/>
              <w:bottom w:val="nil"/>
              <w:right w:val="nil"/>
            </w:tcBorders>
            <w:shd w:val="clear" w:color="auto" w:fill="auto"/>
            <w:noWrap/>
            <w:hideMark/>
          </w:tcPr>
          <w:p w14:paraId="70F8153F" w14:textId="77777777" w:rsidR="00644AB7" w:rsidRPr="00B35816" w:rsidRDefault="00644AB7" w:rsidP="00644AB7">
            <w:pPr>
              <w:jc w:val="right"/>
              <w:rPr>
                <w:rFonts w:cs="Arial"/>
                <w:b/>
                <w:bCs/>
                <w:color w:val="000000"/>
                <w:sz w:val="24"/>
                <w:szCs w:val="24"/>
              </w:rPr>
            </w:pPr>
            <w:r w:rsidRPr="00B35816">
              <w:rPr>
                <w:rFonts w:cs="Arial"/>
                <w:b/>
                <w:bCs/>
                <w:color w:val="000000"/>
                <w:sz w:val="24"/>
                <w:szCs w:val="24"/>
              </w:rPr>
              <w:t>(4,111)</w:t>
            </w:r>
          </w:p>
        </w:tc>
      </w:tr>
      <w:tr w:rsidR="00644AB7" w:rsidRPr="00B35816" w14:paraId="6B469D90" w14:textId="77777777" w:rsidTr="00644AB7">
        <w:trPr>
          <w:trHeight w:val="300"/>
        </w:trPr>
        <w:tc>
          <w:tcPr>
            <w:tcW w:w="3800" w:type="dxa"/>
            <w:tcBorders>
              <w:top w:val="nil"/>
              <w:left w:val="nil"/>
              <w:bottom w:val="nil"/>
              <w:right w:val="nil"/>
            </w:tcBorders>
            <w:shd w:val="clear" w:color="auto" w:fill="auto"/>
            <w:noWrap/>
            <w:hideMark/>
          </w:tcPr>
          <w:p w14:paraId="4CC54869" w14:textId="77777777" w:rsidR="00644AB7" w:rsidRPr="00B35816" w:rsidRDefault="00644AB7" w:rsidP="00644AB7">
            <w:pPr>
              <w:jc w:val="right"/>
              <w:rPr>
                <w:rFonts w:cs="Arial"/>
                <w:b/>
                <w:bCs/>
                <w:color w:val="000000"/>
                <w:sz w:val="24"/>
                <w:szCs w:val="24"/>
              </w:rPr>
            </w:pPr>
          </w:p>
        </w:tc>
        <w:tc>
          <w:tcPr>
            <w:tcW w:w="1180" w:type="dxa"/>
            <w:tcBorders>
              <w:top w:val="nil"/>
              <w:left w:val="nil"/>
              <w:bottom w:val="nil"/>
              <w:right w:val="nil"/>
            </w:tcBorders>
            <w:shd w:val="clear" w:color="auto" w:fill="auto"/>
            <w:noWrap/>
            <w:hideMark/>
          </w:tcPr>
          <w:p w14:paraId="4777CF11" w14:textId="77777777" w:rsidR="00644AB7" w:rsidRPr="00B35816" w:rsidRDefault="00644AB7" w:rsidP="00644AB7">
            <w:pPr>
              <w:jc w:val="right"/>
              <w:rPr>
                <w:rFonts w:cs="Arial"/>
                <w:color w:val="000000"/>
                <w:sz w:val="24"/>
                <w:szCs w:val="24"/>
              </w:rPr>
            </w:pPr>
            <w:r w:rsidRPr="00B35816">
              <w:rPr>
                <w:rFonts w:cs="Arial"/>
                <w:color w:val="000000"/>
                <w:sz w:val="24"/>
                <w:szCs w:val="24"/>
              </w:rPr>
              <w:t>0</w:t>
            </w:r>
          </w:p>
        </w:tc>
        <w:tc>
          <w:tcPr>
            <w:tcW w:w="1300" w:type="dxa"/>
            <w:tcBorders>
              <w:top w:val="nil"/>
              <w:left w:val="nil"/>
              <w:bottom w:val="nil"/>
              <w:right w:val="nil"/>
            </w:tcBorders>
            <w:shd w:val="clear" w:color="auto" w:fill="auto"/>
            <w:noWrap/>
            <w:hideMark/>
          </w:tcPr>
          <w:p w14:paraId="5A4FA0BB" w14:textId="77777777" w:rsidR="00644AB7" w:rsidRPr="00B35816" w:rsidRDefault="00644AB7" w:rsidP="00644AB7">
            <w:pPr>
              <w:jc w:val="right"/>
              <w:rPr>
                <w:rFonts w:cs="Arial"/>
                <w:color w:val="000000"/>
                <w:sz w:val="24"/>
                <w:szCs w:val="24"/>
              </w:rPr>
            </w:pPr>
            <w:r w:rsidRPr="00B35816">
              <w:rPr>
                <w:rFonts w:cs="Arial"/>
                <w:color w:val="000000"/>
                <w:sz w:val="24"/>
                <w:szCs w:val="24"/>
              </w:rPr>
              <w:t>0</w:t>
            </w:r>
          </w:p>
        </w:tc>
        <w:tc>
          <w:tcPr>
            <w:tcW w:w="1300" w:type="dxa"/>
            <w:tcBorders>
              <w:top w:val="nil"/>
              <w:left w:val="nil"/>
              <w:bottom w:val="nil"/>
              <w:right w:val="nil"/>
            </w:tcBorders>
            <w:shd w:val="clear" w:color="auto" w:fill="auto"/>
            <w:noWrap/>
            <w:hideMark/>
          </w:tcPr>
          <w:p w14:paraId="3BD612CE" w14:textId="77777777" w:rsidR="00644AB7" w:rsidRPr="00B35816" w:rsidRDefault="00644AB7" w:rsidP="00644AB7">
            <w:pPr>
              <w:jc w:val="right"/>
              <w:rPr>
                <w:rFonts w:cs="Arial"/>
                <w:color w:val="000000"/>
                <w:sz w:val="24"/>
                <w:szCs w:val="24"/>
              </w:rPr>
            </w:pPr>
            <w:r w:rsidRPr="00B35816">
              <w:rPr>
                <w:rFonts w:cs="Arial"/>
                <w:color w:val="000000"/>
                <w:sz w:val="24"/>
                <w:szCs w:val="24"/>
              </w:rPr>
              <w:t>0</w:t>
            </w:r>
          </w:p>
        </w:tc>
        <w:tc>
          <w:tcPr>
            <w:tcW w:w="1300" w:type="dxa"/>
            <w:tcBorders>
              <w:top w:val="nil"/>
              <w:left w:val="nil"/>
              <w:bottom w:val="nil"/>
              <w:right w:val="nil"/>
            </w:tcBorders>
            <w:shd w:val="clear" w:color="auto" w:fill="auto"/>
            <w:noWrap/>
            <w:hideMark/>
          </w:tcPr>
          <w:p w14:paraId="1E9C3FC1" w14:textId="77777777" w:rsidR="00644AB7" w:rsidRPr="00B35816" w:rsidRDefault="00644AB7" w:rsidP="00644AB7">
            <w:pPr>
              <w:jc w:val="right"/>
              <w:rPr>
                <w:rFonts w:cs="Arial"/>
                <w:color w:val="000000"/>
                <w:sz w:val="24"/>
                <w:szCs w:val="24"/>
              </w:rPr>
            </w:pPr>
            <w:r w:rsidRPr="00B35816">
              <w:rPr>
                <w:rFonts w:cs="Arial"/>
                <w:color w:val="000000"/>
                <w:sz w:val="24"/>
                <w:szCs w:val="24"/>
              </w:rPr>
              <w:t>0</w:t>
            </w:r>
          </w:p>
        </w:tc>
      </w:tr>
      <w:tr w:rsidR="00644AB7" w:rsidRPr="00B35816" w14:paraId="3EB35F56" w14:textId="77777777" w:rsidTr="00B35816">
        <w:trPr>
          <w:trHeight w:val="312"/>
        </w:trPr>
        <w:tc>
          <w:tcPr>
            <w:tcW w:w="3800" w:type="dxa"/>
            <w:tcBorders>
              <w:top w:val="nil"/>
              <w:left w:val="nil"/>
              <w:bottom w:val="nil"/>
              <w:right w:val="nil"/>
            </w:tcBorders>
            <w:shd w:val="clear" w:color="auto" w:fill="auto"/>
            <w:noWrap/>
            <w:hideMark/>
          </w:tcPr>
          <w:p w14:paraId="0F177DF9" w14:textId="77777777" w:rsidR="00644AB7" w:rsidRPr="00B35816" w:rsidRDefault="00644AB7" w:rsidP="00644AB7">
            <w:pPr>
              <w:jc w:val="left"/>
              <w:rPr>
                <w:rFonts w:cs="Arial"/>
                <w:b/>
                <w:bCs/>
                <w:color w:val="000000"/>
                <w:sz w:val="24"/>
                <w:szCs w:val="24"/>
              </w:rPr>
            </w:pPr>
            <w:r w:rsidRPr="00B35816">
              <w:rPr>
                <w:rFonts w:cs="Arial"/>
                <w:b/>
                <w:bCs/>
                <w:color w:val="000000"/>
                <w:sz w:val="24"/>
                <w:szCs w:val="24"/>
              </w:rPr>
              <w:t>Total Council Tax Requirement</w:t>
            </w:r>
          </w:p>
        </w:tc>
        <w:tc>
          <w:tcPr>
            <w:tcW w:w="1180" w:type="dxa"/>
            <w:tcBorders>
              <w:top w:val="nil"/>
              <w:left w:val="nil"/>
              <w:bottom w:val="nil"/>
              <w:right w:val="nil"/>
            </w:tcBorders>
            <w:shd w:val="clear" w:color="auto" w:fill="auto"/>
            <w:noWrap/>
            <w:hideMark/>
          </w:tcPr>
          <w:p w14:paraId="13487939" w14:textId="77777777" w:rsidR="00644AB7" w:rsidRPr="00B35816" w:rsidRDefault="00644AB7" w:rsidP="00644AB7">
            <w:pPr>
              <w:jc w:val="right"/>
              <w:rPr>
                <w:rFonts w:cs="Arial"/>
                <w:color w:val="000000"/>
                <w:sz w:val="24"/>
                <w:szCs w:val="24"/>
              </w:rPr>
            </w:pPr>
            <w:r w:rsidRPr="00B35816">
              <w:rPr>
                <w:rFonts w:cs="Arial"/>
                <w:color w:val="000000"/>
                <w:sz w:val="24"/>
                <w:szCs w:val="24"/>
              </w:rPr>
              <w:t>(5,684)</w:t>
            </w:r>
          </w:p>
        </w:tc>
        <w:tc>
          <w:tcPr>
            <w:tcW w:w="1300" w:type="dxa"/>
            <w:tcBorders>
              <w:top w:val="nil"/>
              <w:left w:val="nil"/>
              <w:bottom w:val="nil"/>
              <w:right w:val="nil"/>
            </w:tcBorders>
            <w:shd w:val="clear" w:color="auto" w:fill="auto"/>
            <w:noWrap/>
            <w:hideMark/>
          </w:tcPr>
          <w:p w14:paraId="5E5F4949" w14:textId="77777777" w:rsidR="00644AB7" w:rsidRPr="00B35816" w:rsidRDefault="00644AB7" w:rsidP="00644AB7">
            <w:pPr>
              <w:jc w:val="right"/>
              <w:rPr>
                <w:rFonts w:cs="Arial"/>
                <w:color w:val="000000"/>
                <w:sz w:val="24"/>
                <w:szCs w:val="24"/>
              </w:rPr>
            </w:pPr>
            <w:r w:rsidRPr="00B35816">
              <w:rPr>
                <w:rFonts w:cs="Arial"/>
                <w:color w:val="000000"/>
                <w:sz w:val="24"/>
                <w:szCs w:val="24"/>
              </w:rPr>
              <w:t>(5,851)</w:t>
            </w:r>
          </w:p>
        </w:tc>
        <w:tc>
          <w:tcPr>
            <w:tcW w:w="1300" w:type="dxa"/>
            <w:tcBorders>
              <w:top w:val="nil"/>
              <w:left w:val="nil"/>
              <w:bottom w:val="nil"/>
              <w:right w:val="nil"/>
            </w:tcBorders>
            <w:shd w:val="clear" w:color="auto" w:fill="auto"/>
            <w:noWrap/>
            <w:hideMark/>
          </w:tcPr>
          <w:p w14:paraId="088B5D99" w14:textId="77777777" w:rsidR="00644AB7" w:rsidRPr="00B35816" w:rsidRDefault="00644AB7" w:rsidP="00644AB7">
            <w:pPr>
              <w:jc w:val="right"/>
              <w:rPr>
                <w:rFonts w:cs="Arial"/>
                <w:color w:val="000000"/>
                <w:sz w:val="24"/>
                <w:szCs w:val="24"/>
              </w:rPr>
            </w:pPr>
            <w:r w:rsidRPr="00B35816">
              <w:rPr>
                <w:rFonts w:cs="Arial"/>
                <w:color w:val="000000"/>
                <w:sz w:val="24"/>
                <w:szCs w:val="24"/>
              </w:rPr>
              <w:t>(5,851)</w:t>
            </w:r>
          </w:p>
        </w:tc>
        <w:tc>
          <w:tcPr>
            <w:tcW w:w="1300" w:type="dxa"/>
            <w:tcBorders>
              <w:top w:val="nil"/>
              <w:left w:val="nil"/>
              <w:bottom w:val="nil"/>
              <w:right w:val="nil"/>
            </w:tcBorders>
            <w:shd w:val="clear" w:color="auto" w:fill="auto"/>
            <w:noWrap/>
            <w:hideMark/>
          </w:tcPr>
          <w:p w14:paraId="65927585" w14:textId="77777777" w:rsidR="00644AB7" w:rsidRPr="00B35816" w:rsidRDefault="00644AB7" w:rsidP="00644AB7">
            <w:pPr>
              <w:jc w:val="right"/>
              <w:rPr>
                <w:rFonts w:cs="Arial"/>
                <w:color w:val="000000"/>
                <w:sz w:val="24"/>
                <w:szCs w:val="24"/>
              </w:rPr>
            </w:pPr>
            <w:r w:rsidRPr="00B35816">
              <w:rPr>
                <w:rFonts w:cs="Arial"/>
                <w:color w:val="000000"/>
                <w:sz w:val="24"/>
                <w:szCs w:val="24"/>
              </w:rPr>
              <w:t>(5,851)</w:t>
            </w:r>
          </w:p>
        </w:tc>
      </w:tr>
      <w:tr w:rsidR="00644AB7" w:rsidRPr="00B35816" w14:paraId="66FCD74D" w14:textId="77777777" w:rsidTr="00644AB7">
        <w:trPr>
          <w:trHeight w:val="300"/>
        </w:trPr>
        <w:tc>
          <w:tcPr>
            <w:tcW w:w="3800" w:type="dxa"/>
            <w:tcBorders>
              <w:top w:val="nil"/>
              <w:left w:val="nil"/>
              <w:bottom w:val="nil"/>
              <w:right w:val="nil"/>
            </w:tcBorders>
            <w:shd w:val="clear" w:color="auto" w:fill="auto"/>
            <w:noWrap/>
            <w:hideMark/>
          </w:tcPr>
          <w:p w14:paraId="025D2EED" w14:textId="77777777" w:rsidR="00644AB7" w:rsidRPr="00B35816" w:rsidRDefault="00644AB7" w:rsidP="00644AB7">
            <w:pPr>
              <w:jc w:val="right"/>
              <w:rPr>
                <w:rFonts w:cs="Arial"/>
                <w:color w:val="000000"/>
                <w:sz w:val="24"/>
                <w:szCs w:val="24"/>
              </w:rPr>
            </w:pPr>
          </w:p>
        </w:tc>
        <w:tc>
          <w:tcPr>
            <w:tcW w:w="1180" w:type="dxa"/>
            <w:tcBorders>
              <w:top w:val="nil"/>
              <w:left w:val="nil"/>
              <w:bottom w:val="nil"/>
              <w:right w:val="nil"/>
            </w:tcBorders>
            <w:shd w:val="clear" w:color="auto" w:fill="auto"/>
            <w:noWrap/>
            <w:hideMark/>
          </w:tcPr>
          <w:p w14:paraId="4BDDF4EA" w14:textId="77777777" w:rsidR="00644AB7" w:rsidRPr="00B35816"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1D09A568" w14:textId="77777777" w:rsidR="00644AB7" w:rsidRPr="00B35816"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161B3C95" w14:textId="77777777" w:rsidR="00644AB7" w:rsidRPr="00B35816" w:rsidRDefault="00644AB7" w:rsidP="00644AB7">
            <w:pPr>
              <w:jc w:val="left"/>
              <w:rPr>
                <w:rFonts w:ascii="Times New Roman" w:hAnsi="Times New Roman"/>
                <w:sz w:val="20"/>
                <w:szCs w:val="20"/>
              </w:rPr>
            </w:pPr>
          </w:p>
        </w:tc>
        <w:tc>
          <w:tcPr>
            <w:tcW w:w="1300" w:type="dxa"/>
            <w:tcBorders>
              <w:top w:val="nil"/>
              <w:left w:val="nil"/>
              <w:bottom w:val="nil"/>
              <w:right w:val="nil"/>
            </w:tcBorders>
            <w:shd w:val="clear" w:color="auto" w:fill="auto"/>
            <w:noWrap/>
            <w:hideMark/>
          </w:tcPr>
          <w:p w14:paraId="2DEFE3A4" w14:textId="77777777" w:rsidR="00644AB7" w:rsidRPr="00B35816" w:rsidRDefault="00644AB7" w:rsidP="00644AB7">
            <w:pPr>
              <w:jc w:val="left"/>
              <w:rPr>
                <w:rFonts w:ascii="Times New Roman" w:hAnsi="Times New Roman"/>
                <w:sz w:val="20"/>
                <w:szCs w:val="20"/>
              </w:rPr>
            </w:pPr>
          </w:p>
        </w:tc>
      </w:tr>
      <w:tr w:rsidR="00644AB7" w:rsidRPr="00B35816" w14:paraId="0083EBAB" w14:textId="77777777" w:rsidTr="00644AB7">
        <w:trPr>
          <w:trHeight w:val="288"/>
        </w:trPr>
        <w:tc>
          <w:tcPr>
            <w:tcW w:w="3800" w:type="dxa"/>
            <w:tcBorders>
              <w:top w:val="nil"/>
              <w:left w:val="nil"/>
              <w:bottom w:val="nil"/>
              <w:right w:val="nil"/>
            </w:tcBorders>
            <w:shd w:val="clear" w:color="auto" w:fill="auto"/>
            <w:noWrap/>
            <w:hideMark/>
          </w:tcPr>
          <w:p w14:paraId="0CDCA52E" w14:textId="77777777" w:rsidR="00644AB7" w:rsidRPr="00B35816" w:rsidRDefault="00644AB7" w:rsidP="00644AB7">
            <w:pPr>
              <w:jc w:val="left"/>
              <w:rPr>
                <w:rFonts w:cs="Arial"/>
                <w:b/>
                <w:bCs/>
                <w:color w:val="000000"/>
                <w:sz w:val="24"/>
                <w:szCs w:val="24"/>
              </w:rPr>
            </w:pPr>
            <w:r w:rsidRPr="00B35816">
              <w:rPr>
                <w:rFonts w:cs="Arial"/>
                <w:b/>
                <w:bCs/>
                <w:color w:val="000000"/>
                <w:sz w:val="24"/>
                <w:szCs w:val="24"/>
              </w:rPr>
              <w:t>Deficit/(Surplus)</w:t>
            </w:r>
          </w:p>
        </w:tc>
        <w:tc>
          <w:tcPr>
            <w:tcW w:w="1180" w:type="dxa"/>
            <w:tcBorders>
              <w:top w:val="nil"/>
              <w:left w:val="nil"/>
              <w:bottom w:val="nil"/>
              <w:right w:val="nil"/>
            </w:tcBorders>
            <w:shd w:val="clear" w:color="auto" w:fill="auto"/>
            <w:noWrap/>
            <w:hideMark/>
          </w:tcPr>
          <w:p w14:paraId="07B98106" w14:textId="77777777" w:rsidR="00644AB7" w:rsidRPr="00B35816" w:rsidRDefault="00644AB7" w:rsidP="00644AB7">
            <w:pPr>
              <w:jc w:val="right"/>
              <w:rPr>
                <w:rFonts w:cs="Arial"/>
                <w:b/>
                <w:bCs/>
                <w:color w:val="000000"/>
                <w:sz w:val="24"/>
                <w:szCs w:val="24"/>
              </w:rPr>
            </w:pPr>
            <w:r w:rsidRPr="00B35816">
              <w:rPr>
                <w:rFonts w:cs="Arial"/>
                <w:b/>
                <w:bCs/>
                <w:color w:val="000000"/>
                <w:sz w:val="24"/>
                <w:szCs w:val="24"/>
              </w:rPr>
              <w:t xml:space="preserve">0 </w:t>
            </w:r>
          </w:p>
        </w:tc>
        <w:tc>
          <w:tcPr>
            <w:tcW w:w="1300" w:type="dxa"/>
            <w:tcBorders>
              <w:top w:val="nil"/>
              <w:left w:val="nil"/>
              <w:bottom w:val="nil"/>
              <w:right w:val="nil"/>
            </w:tcBorders>
            <w:shd w:val="clear" w:color="auto" w:fill="auto"/>
            <w:noWrap/>
            <w:hideMark/>
          </w:tcPr>
          <w:p w14:paraId="72977634" w14:textId="77777777" w:rsidR="00644AB7" w:rsidRPr="00B35816" w:rsidRDefault="00644AB7" w:rsidP="00644AB7">
            <w:pPr>
              <w:jc w:val="right"/>
              <w:rPr>
                <w:rFonts w:cs="Arial"/>
                <w:b/>
                <w:bCs/>
                <w:color w:val="000000"/>
                <w:sz w:val="24"/>
                <w:szCs w:val="24"/>
              </w:rPr>
            </w:pPr>
            <w:r w:rsidRPr="00B35816">
              <w:rPr>
                <w:rFonts w:cs="Arial"/>
                <w:b/>
                <w:bCs/>
                <w:color w:val="000000"/>
                <w:sz w:val="24"/>
                <w:szCs w:val="24"/>
              </w:rPr>
              <w:t xml:space="preserve">0 </w:t>
            </w:r>
          </w:p>
        </w:tc>
        <w:tc>
          <w:tcPr>
            <w:tcW w:w="1300" w:type="dxa"/>
            <w:tcBorders>
              <w:top w:val="nil"/>
              <w:left w:val="nil"/>
              <w:bottom w:val="nil"/>
              <w:right w:val="nil"/>
            </w:tcBorders>
            <w:shd w:val="clear" w:color="auto" w:fill="auto"/>
            <w:noWrap/>
            <w:hideMark/>
          </w:tcPr>
          <w:p w14:paraId="379E9D7B" w14:textId="77777777" w:rsidR="00644AB7" w:rsidRPr="00B35816" w:rsidRDefault="00644AB7" w:rsidP="00644AB7">
            <w:pPr>
              <w:jc w:val="right"/>
              <w:rPr>
                <w:rFonts w:cs="Arial"/>
                <w:b/>
                <w:bCs/>
                <w:color w:val="000000"/>
                <w:sz w:val="24"/>
                <w:szCs w:val="24"/>
              </w:rPr>
            </w:pPr>
            <w:r w:rsidRPr="00B35816">
              <w:rPr>
                <w:rFonts w:cs="Arial"/>
                <w:b/>
                <w:bCs/>
                <w:color w:val="000000"/>
                <w:sz w:val="24"/>
                <w:szCs w:val="24"/>
              </w:rPr>
              <w:t xml:space="preserve">851 </w:t>
            </w:r>
          </w:p>
        </w:tc>
        <w:tc>
          <w:tcPr>
            <w:tcW w:w="1300" w:type="dxa"/>
            <w:tcBorders>
              <w:top w:val="nil"/>
              <w:left w:val="nil"/>
              <w:bottom w:val="nil"/>
              <w:right w:val="nil"/>
            </w:tcBorders>
            <w:shd w:val="clear" w:color="auto" w:fill="auto"/>
            <w:noWrap/>
            <w:hideMark/>
          </w:tcPr>
          <w:p w14:paraId="5B0C436F" w14:textId="77777777" w:rsidR="00644AB7" w:rsidRPr="00B35816" w:rsidRDefault="00644AB7" w:rsidP="00644AB7">
            <w:pPr>
              <w:jc w:val="right"/>
              <w:rPr>
                <w:rFonts w:cs="Arial"/>
                <w:b/>
                <w:bCs/>
                <w:color w:val="000000"/>
                <w:sz w:val="24"/>
                <w:szCs w:val="24"/>
              </w:rPr>
            </w:pPr>
            <w:r w:rsidRPr="00B35816">
              <w:rPr>
                <w:rFonts w:cs="Arial"/>
                <w:b/>
                <w:bCs/>
                <w:color w:val="000000"/>
                <w:sz w:val="24"/>
                <w:szCs w:val="24"/>
              </w:rPr>
              <w:t xml:space="preserve">929 </w:t>
            </w:r>
          </w:p>
        </w:tc>
      </w:tr>
    </w:tbl>
    <w:p w14:paraId="63DAFA90" w14:textId="77777777" w:rsidR="00CF625B" w:rsidRPr="00656AD3" w:rsidRDefault="00CF625B" w:rsidP="00CF625B">
      <w:pPr>
        <w:rPr>
          <w:rFonts w:cs="Arial"/>
          <w:b/>
        </w:rPr>
        <w:sectPr w:rsidR="00CF625B" w:rsidRPr="00656AD3" w:rsidSect="00DF11C3">
          <w:headerReference w:type="default" r:id="rId10"/>
          <w:pgSz w:w="11906" w:h="16838"/>
          <w:pgMar w:top="1440" w:right="1440" w:bottom="1440" w:left="1440" w:header="708" w:footer="708" w:gutter="0"/>
          <w:cols w:space="708"/>
          <w:docGrid w:linePitch="360"/>
        </w:sectPr>
      </w:pPr>
    </w:p>
    <w:p w14:paraId="62CB4146" w14:textId="77777777" w:rsidR="00CF625B" w:rsidRPr="00656AD3" w:rsidRDefault="00CF625B" w:rsidP="00CF625B">
      <w:pPr>
        <w:rPr>
          <w:rFonts w:cs="Arial"/>
        </w:rPr>
      </w:pPr>
    </w:p>
    <w:p w14:paraId="65B6C7C4" w14:textId="08410023" w:rsidR="00755F99" w:rsidRDefault="00755F99" w:rsidP="00223FC8">
      <w:pPr>
        <w:rPr>
          <w:b/>
          <w:sz w:val="32"/>
          <w:szCs w:val="32"/>
        </w:rPr>
      </w:pPr>
      <w:r>
        <w:rPr>
          <w:b/>
          <w:sz w:val="32"/>
          <w:szCs w:val="32"/>
        </w:rPr>
        <w:t>Appendix 2</w:t>
      </w:r>
    </w:p>
    <w:p w14:paraId="40AEF770" w14:textId="13574A6C" w:rsidR="00755F99" w:rsidRDefault="00755F99" w:rsidP="00223FC8">
      <w:pPr>
        <w:rPr>
          <w:b/>
          <w:sz w:val="32"/>
          <w:szCs w:val="32"/>
        </w:rPr>
      </w:pPr>
    </w:p>
    <w:p w14:paraId="16CED6B2" w14:textId="326C6D4C" w:rsidR="00755F99" w:rsidRDefault="00755F99" w:rsidP="00223FC8">
      <w:pPr>
        <w:rPr>
          <w:b/>
          <w:sz w:val="24"/>
          <w:szCs w:val="24"/>
        </w:rPr>
      </w:pPr>
      <w:r>
        <w:rPr>
          <w:b/>
          <w:sz w:val="24"/>
          <w:szCs w:val="24"/>
        </w:rPr>
        <w:t>General Fund Savings Proposals</w:t>
      </w:r>
      <w:r w:rsidR="0032522F">
        <w:rPr>
          <w:b/>
          <w:sz w:val="24"/>
          <w:szCs w:val="24"/>
        </w:rPr>
        <w:t xml:space="preserve"> 2021/22</w:t>
      </w:r>
    </w:p>
    <w:p w14:paraId="04A9D148" w14:textId="01CE7460" w:rsidR="0032522F" w:rsidRPr="001538C8" w:rsidRDefault="0032522F" w:rsidP="00223FC8">
      <w:pPr>
        <w:rPr>
          <w:rFonts w:cs="Arial"/>
          <w:b/>
          <w:sz w:val="24"/>
          <w:szCs w:val="24"/>
        </w:rPr>
      </w:pPr>
    </w:p>
    <w:tbl>
      <w:tblPr>
        <w:tblW w:w="8332" w:type="dxa"/>
        <w:tblLook w:val="04A0" w:firstRow="1" w:lastRow="0" w:firstColumn="1" w:lastColumn="0" w:noHBand="0" w:noVBand="1"/>
      </w:tblPr>
      <w:tblGrid>
        <w:gridCol w:w="5080"/>
        <w:gridCol w:w="1084"/>
        <w:gridCol w:w="1084"/>
        <w:gridCol w:w="1084"/>
      </w:tblGrid>
      <w:tr w:rsidR="001538C8" w:rsidRPr="001538C8" w14:paraId="0713EAB4" w14:textId="77777777" w:rsidTr="00EB431C">
        <w:trPr>
          <w:trHeight w:val="288"/>
        </w:trPr>
        <w:tc>
          <w:tcPr>
            <w:tcW w:w="5080" w:type="dxa"/>
            <w:tcBorders>
              <w:top w:val="nil"/>
              <w:left w:val="nil"/>
              <w:bottom w:val="nil"/>
              <w:right w:val="nil"/>
            </w:tcBorders>
            <w:shd w:val="clear" w:color="auto" w:fill="auto"/>
            <w:noWrap/>
            <w:vAlign w:val="bottom"/>
            <w:hideMark/>
          </w:tcPr>
          <w:p w14:paraId="584C3F48" w14:textId="77777777" w:rsidR="001538C8" w:rsidRPr="001538C8" w:rsidRDefault="001538C8" w:rsidP="001538C8">
            <w:pPr>
              <w:jc w:val="left"/>
              <w:rPr>
                <w:rFonts w:cs="Arial"/>
                <w:sz w:val="24"/>
                <w:szCs w:val="24"/>
              </w:rPr>
            </w:pPr>
          </w:p>
        </w:tc>
        <w:tc>
          <w:tcPr>
            <w:tcW w:w="1084" w:type="dxa"/>
            <w:tcBorders>
              <w:top w:val="nil"/>
              <w:left w:val="nil"/>
              <w:bottom w:val="nil"/>
              <w:right w:val="nil"/>
            </w:tcBorders>
            <w:shd w:val="clear" w:color="auto" w:fill="auto"/>
            <w:noWrap/>
            <w:vAlign w:val="bottom"/>
            <w:hideMark/>
          </w:tcPr>
          <w:p w14:paraId="0024A0C6" w14:textId="77777777" w:rsidR="001538C8" w:rsidRPr="001538C8" w:rsidRDefault="001538C8" w:rsidP="001538C8">
            <w:pPr>
              <w:jc w:val="center"/>
              <w:rPr>
                <w:rFonts w:cs="Arial"/>
                <w:b/>
                <w:bCs/>
                <w:color w:val="000000"/>
                <w:sz w:val="24"/>
                <w:szCs w:val="24"/>
              </w:rPr>
            </w:pPr>
            <w:r w:rsidRPr="001538C8">
              <w:rPr>
                <w:rFonts w:cs="Arial"/>
                <w:b/>
                <w:bCs/>
                <w:color w:val="000000"/>
                <w:sz w:val="24"/>
                <w:szCs w:val="24"/>
              </w:rPr>
              <w:t>2021/22</w:t>
            </w:r>
          </w:p>
        </w:tc>
        <w:tc>
          <w:tcPr>
            <w:tcW w:w="1084" w:type="dxa"/>
            <w:tcBorders>
              <w:top w:val="nil"/>
              <w:left w:val="nil"/>
              <w:bottom w:val="nil"/>
              <w:right w:val="nil"/>
            </w:tcBorders>
            <w:shd w:val="clear" w:color="auto" w:fill="auto"/>
            <w:noWrap/>
            <w:vAlign w:val="bottom"/>
            <w:hideMark/>
          </w:tcPr>
          <w:p w14:paraId="183889D3" w14:textId="77777777" w:rsidR="001538C8" w:rsidRPr="001538C8" w:rsidRDefault="001538C8" w:rsidP="001538C8">
            <w:pPr>
              <w:jc w:val="center"/>
              <w:rPr>
                <w:rFonts w:cs="Arial"/>
                <w:b/>
                <w:bCs/>
                <w:color w:val="000000"/>
                <w:sz w:val="24"/>
                <w:szCs w:val="24"/>
              </w:rPr>
            </w:pPr>
            <w:r w:rsidRPr="001538C8">
              <w:rPr>
                <w:rFonts w:cs="Arial"/>
                <w:b/>
                <w:bCs/>
                <w:color w:val="000000"/>
                <w:sz w:val="24"/>
                <w:szCs w:val="24"/>
              </w:rPr>
              <w:t>2022/23</w:t>
            </w:r>
          </w:p>
        </w:tc>
        <w:tc>
          <w:tcPr>
            <w:tcW w:w="1084" w:type="dxa"/>
            <w:tcBorders>
              <w:top w:val="nil"/>
              <w:left w:val="nil"/>
              <w:bottom w:val="nil"/>
              <w:right w:val="nil"/>
            </w:tcBorders>
            <w:shd w:val="clear" w:color="auto" w:fill="auto"/>
            <w:noWrap/>
            <w:vAlign w:val="bottom"/>
            <w:hideMark/>
          </w:tcPr>
          <w:p w14:paraId="4C0C187A" w14:textId="77777777" w:rsidR="001538C8" w:rsidRPr="001538C8" w:rsidRDefault="001538C8" w:rsidP="001538C8">
            <w:pPr>
              <w:jc w:val="center"/>
              <w:rPr>
                <w:rFonts w:cs="Arial"/>
                <w:b/>
                <w:bCs/>
                <w:color w:val="000000"/>
                <w:sz w:val="24"/>
                <w:szCs w:val="24"/>
              </w:rPr>
            </w:pPr>
            <w:r w:rsidRPr="001538C8">
              <w:rPr>
                <w:rFonts w:cs="Arial"/>
                <w:b/>
                <w:bCs/>
                <w:color w:val="000000"/>
                <w:sz w:val="24"/>
                <w:szCs w:val="24"/>
              </w:rPr>
              <w:t>2023/24</w:t>
            </w:r>
          </w:p>
        </w:tc>
      </w:tr>
      <w:tr w:rsidR="001538C8" w:rsidRPr="001538C8" w14:paraId="1FA77067" w14:textId="77777777" w:rsidTr="00EB431C">
        <w:trPr>
          <w:trHeight w:val="288"/>
        </w:trPr>
        <w:tc>
          <w:tcPr>
            <w:tcW w:w="5080" w:type="dxa"/>
            <w:tcBorders>
              <w:top w:val="nil"/>
              <w:left w:val="nil"/>
              <w:bottom w:val="nil"/>
              <w:right w:val="nil"/>
            </w:tcBorders>
            <w:shd w:val="clear" w:color="auto" w:fill="auto"/>
            <w:noWrap/>
            <w:vAlign w:val="bottom"/>
            <w:hideMark/>
          </w:tcPr>
          <w:p w14:paraId="221FB40A" w14:textId="77777777" w:rsidR="001538C8" w:rsidRPr="001538C8" w:rsidRDefault="001538C8" w:rsidP="001538C8">
            <w:pPr>
              <w:jc w:val="center"/>
              <w:rPr>
                <w:rFonts w:cs="Arial"/>
                <w:b/>
                <w:bCs/>
                <w:color w:val="000000"/>
                <w:sz w:val="24"/>
                <w:szCs w:val="24"/>
              </w:rPr>
            </w:pPr>
          </w:p>
        </w:tc>
        <w:tc>
          <w:tcPr>
            <w:tcW w:w="1084" w:type="dxa"/>
            <w:tcBorders>
              <w:top w:val="nil"/>
              <w:left w:val="nil"/>
              <w:bottom w:val="nil"/>
              <w:right w:val="nil"/>
            </w:tcBorders>
            <w:shd w:val="clear" w:color="auto" w:fill="auto"/>
            <w:noWrap/>
            <w:vAlign w:val="bottom"/>
            <w:hideMark/>
          </w:tcPr>
          <w:p w14:paraId="354AA366" w14:textId="77777777" w:rsidR="001538C8" w:rsidRPr="001538C8" w:rsidRDefault="001538C8" w:rsidP="001538C8">
            <w:pPr>
              <w:jc w:val="center"/>
              <w:rPr>
                <w:rFonts w:cs="Arial"/>
                <w:b/>
                <w:bCs/>
                <w:color w:val="000000"/>
                <w:sz w:val="24"/>
                <w:szCs w:val="24"/>
              </w:rPr>
            </w:pPr>
            <w:r w:rsidRPr="001538C8">
              <w:rPr>
                <w:rFonts w:cs="Arial"/>
                <w:b/>
                <w:bCs/>
                <w:color w:val="000000"/>
                <w:sz w:val="24"/>
                <w:szCs w:val="24"/>
              </w:rPr>
              <w:t>£000</w:t>
            </w:r>
          </w:p>
        </w:tc>
        <w:tc>
          <w:tcPr>
            <w:tcW w:w="1084" w:type="dxa"/>
            <w:tcBorders>
              <w:top w:val="nil"/>
              <w:left w:val="nil"/>
              <w:bottom w:val="nil"/>
              <w:right w:val="nil"/>
            </w:tcBorders>
            <w:shd w:val="clear" w:color="auto" w:fill="auto"/>
            <w:noWrap/>
            <w:vAlign w:val="bottom"/>
            <w:hideMark/>
          </w:tcPr>
          <w:p w14:paraId="0B6B49A3" w14:textId="77777777" w:rsidR="001538C8" w:rsidRPr="001538C8" w:rsidRDefault="001538C8" w:rsidP="001538C8">
            <w:pPr>
              <w:jc w:val="center"/>
              <w:rPr>
                <w:rFonts w:cs="Arial"/>
                <w:b/>
                <w:bCs/>
                <w:color w:val="000000"/>
                <w:sz w:val="24"/>
                <w:szCs w:val="24"/>
              </w:rPr>
            </w:pPr>
            <w:r w:rsidRPr="001538C8">
              <w:rPr>
                <w:rFonts w:cs="Arial"/>
                <w:b/>
                <w:bCs/>
                <w:color w:val="000000"/>
                <w:sz w:val="24"/>
                <w:szCs w:val="24"/>
              </w:rPr>
              <w:t>£000</w:t>
            </w:r>
          </w:p>
        </w:tc>
        <w:tc>
          <w:tcPr>
            <w:tcW w:w="1084" w:type="dxa"/>
            <w:tcBorders>
              <w:top w:val="nil"/>
              <w:left w:val="nil"/>
              <w:bottom w:val="nil"/>
              <w:right w:val="nil"/>
            </w:tcBorders>
            <w:shd w:val="clear" w:color="auto" w:fill="auto"/>
            <w:noWrap/>
            <w:vAlign w:val="bottom"/>
            <w:hideMark/>
          </w:tcPr>
          <w:p w14:paraId="2DF4B3EE" w14:textId="77777777" w:rsidR="001538C8" w:rsidRPr="001538C8" w:rsidRDefault="001538C8" w:rsidP="001538C8">
            <w:pPr>
              <w:jc w:val="center"/>
              <w:rPr>
                <w:rFonts w:cs="Arial"/>
                <w:b/>
                <w:bCs/>
                <w:color w:val="000000"/>
                <w:sz w:val="24"/>
                <w:szCs w:val="24"/>
              </w:rPr>
            </w:pPr>
            <w:r w:rsidRPr="001538C8">
              <w:rPr>
                <w:rFonts w:cs="Arial"/>
                <w:b/>
                <w:bCs/>
                <w:color w:val="000000"/>
                <w:sz w:val="24"/>
                <w:szCs w:val="24"/>
              </w:rPr>
              <w:t>£000</w:t>
            </w:r>
          </w:p>
        </w:tc>
      </w:tr>
      <w:tr w:rsidR="001538C8" w:rsidRPr="001538C8" w14:paraId="463F77A9" w14:textId="77777777" w:rsidTr="00EB431C">
        <w:trPr>
          <w:trHeight w:val="288"/>
        </w:trPr>
        <w:tc>
          <w:tcPr>
            <w:tcW w:w="5080" w:type="dxa"/>
            <w:tcBorders>
              <w:top w:val="nil"/>
              <w:left w:val="nil"/>
              <w:bottom w:val="nil"/>
              <w:right w:val="nil"/>
            </w:tcBorders>
            <w:shd w:val="clear" w:color="auto" w:fill="auto"/>
            <w:noWrap/>
            <w:vAlign w:val="bottom"/>
            <w:hideMark/>
          </w:tcPr>
          <w:p w14:paraId="758FE912" w14:textId="77777777" w:rsidR="001538C8" w:rsidRPr="001538C8" w:rsidRDefault="001538C8" w:rsidP="001538C8">
            <w:pPr>
              <w:jc w:val="left"/>
              <w:rPr>
                <w:rFonts w:cs="Arial"/>
                <w:color w:val="000000"/>
                <w:sz w:val="24"/>
                <w:szCs w:val="24"/>
              </w:rPr>
            </w:pPr>
            <w:r w:rsidRPr="001538C8">
              <w:rPr>
                <w:rFonts w:cs="Arial"/>
                <w:color w:val="000000"/>
                <w:sz w:val="24"/>
                <w:szCs w:val="24"/>
              </w:rPr>
              <w:t xml:space="preserve">Unidentified Savings Target </w:t>
            </w:r>
          </w:p>
        </w:tc>
        <w:tc>
          <w:tcPr>
            <w:tcW w:w="1084" w:type="dxa"/>
            <w:tcBorders>
              <w:top w:val="nil"/>
              <w:left w:val="nil"/>
              <w:bottom w:val="nil"/>
              <w:right w:val="nil"/>
            </w:tcBorders>
            <w:shd w:val="clear" w:color="auto" w:fill="auto"/>
            <w:noWrap/>
            <w:vAlign w:val="bottom"/>
            <w:hideMark/>
          </w:tcPr>
          <w:p w14:paraId="2CED4696" w14:textId="77777777" w:rsidR="001538C8" w:rsidRPr="001538C8" w:rsidRDefault="001538C8" w:rsidP="001538C8">
            <w:pPr>
              <w:jc w:val="right"/>
              <w:rPr>
                <w:rFonts w:cs="Arial"/>
                <w:color w:val="000000"/>
                <w:sz w:val="24"/>
                <w:szCs w:val="24"/>
              </w:rPr>
            </w:pPr>
            <w:r w:rsidRPr="001538C8">
              <w:rPr>
                <w:rFonts w:cs="Arial"/>
                <w:color w:val="000000"/>
                <w:sz w:val="24"/>
                <w:szCs w:val="24"/>
              </w:rPr>
              <w:t>830</w:t>
            </w:r>
          </w:p>
        </w:tc>
        <w:tc>
          <w:tcPr>
            <w:tcW w:w="1084" w:type="dxa"/>
            <w:tcBorders>
              <w:top w:val="nil"/>
              <w:left w:val="nil"/>
              <w:bottom w:val="nil"/>
              <w:right w:val="nil"/>
            </w:tcBorders>
            <w:shd w:val="clear" w:color="auto" w:fill="auto"/>
            <w:noWrap/>
            <w:vAlign w:val="bottom"/>
            <w:hideMark/>
          </w:tcPr>
          <w:p w14:paraId="25B9A376" w14:textId="77777777" w:rsidR="001538C8" w:rsidRPr="001538C8" w:rsidRDefault="001538C8" w:rsidP="001538C8">
            <w:pPr>
              <w:jc w:val="right"/>
              <w:rPr>
                <w:rFonts w:cs="Arial"/>
                <w:color w:val="000000"/>
                <w:sz w:val="24"/>
                <w:szCs w:val="24"/>
              </w:rPr>
            </w:pPr>
            <w:r w:rsidRPr="001538C8">
              <w:rPr>
                <w:rFonts w:cs="Arial"/>
                <w:color w:val="000000"/>
                <w:sz w:val="24"/>
                <w:szCs w:val="24"/>
              </w:rPr>
              <w:t>1,330</w:t>
            </w:r>
          </w:p>
        </w:tc>
        <w:tc>
          <w:tcPr>
            <w:tcW w:w="1084" w:type="dxa"/>
            <w:tcBorders>
              <w:top w:val="nil"/>
              <w:left w:val="nil"/>
              <w:bottom w:val="nil"/>
              <w:right w:val="nil"/>
            </w:tcBorders>
            <w:shd w:val="clear" w:color="auto" w:fill="auto"/>
            <w:noWrap/>
            <w:vAlign w:val="bottom"/>
            <w:hideMark/>
          </w:tcPr>
          <w:p w14:paraId="5DC0BDD5" w14:textId="77777777" w:rsidR="001538C8" w:rsidRPr="001538C8" w:rsidRDefault="001538C8" w:rsidP="001538C8">
            <w:pPr>
              <w:jc w:val="right"/>
              <w:rPr>
                <w:rFonts w:cs="Arial"/>
                <w:color w:val="000000"/>
                <w:sz w:val="24"/>
                <w:szCs w:val="24"/>
              </w:rPr>
            </w:pPr>
            <w:r w:rsidRPr="001538C8">
              <w:rPr>
                <w:rFonts w:cs="Arial"/>
                <w:color w:val="000000"/>
                <w:sz w:val="24"/>
                <w:szCs w:val="24"/>
              </w:rPr>
              <w:t>1,411</w:t>
            </w:r>
          </w:p>
        </w:tc>
      </w:tr>
      <w:tr w:rsidR="001538C8" w:rsidRPr="001538C8" w14:paraId="3F70CCCD" w14:textId="77777777" w:rsidTr="00EB431C">
        <w:trPr>
          <w:trHeight w:val="288"/>
        </w:trPr>
        <w:tc>
          <w:tcPr>
            <w:tcW w:w="5080" w:type="dxa"/>
            <w:tcBorders>
              <w:top w:val="nil"/>
              <w:left w:val="nil"/>
              <w:bottom w:val="nil"/>
              <w:right w:val="nil"/>
            </w:tcBorders>
            <w:shd w:val="clear" w:color="auto" w:fill="auto"/>
            <w:noWrap/>
            <w:vAlign w:val="bottom"/>
            <w:hideMark/>
          </w:tcPr>
          <w:p w14:paraId="0BDE5BB9" w14:textId="77777777" w:rsidR="001538C8" w:rsidRPr="001538C8" w:rsidRDefault="001538C8" w:rsidP="001538C8">
            <w:pPr>
              <w:jc w:val="right"/>
              <w:rPr>
                <w:rFonts w:cs="Arial"/>
                <w:color w:val="000000"/>
                <w:sz w:val="24"/>
                <w:szCs w:val="24"/>
              </w:rPr>
            </w:pPr>
          </w:p>
        </w:tc>
        <w:tc>
          <w:tcPr>
            <w:tcW w:w="1084" w:type="dxa"/>
            <w:tcBorders>
              <w:top w:val="nil"/>
              <w:left w:val="nil"/>
              <w:bottom w:val="nil"/>
              <w:right w:val="nil"/>
            </w:tcBorders>
            <w:shd w:val="clear" w:color="auto" w:fill="auto"/>
            <w:noWrap/>
            <w:vAlign w:val="bottom"/>
            <w:hideMark/>
          </w:tcPr>
          <w:p w14:paraId="6C718D10" w14:textId="77777777" w:rsidR="001538C8" w:rsidRPr="001538C8" w:rsidRDefault="001538C8" w:rsidP="001538C8">
            <w:pPr>
              <w:jc w:val="left"/>
              <w:rPr>
                <w:rFonts w:cs="Arial"/>
                <w:sz w:val="24"/>
                <w:szCs w:val="24"/>
              </w:rPr>
            </w:pPr>
          </w:p>
        </w:tc>
        <w:tc>
          <w:tcPr>
            <w:tcW w:w="1084" w:type="dxa"/>
            <w:tcBorders>
              <w:top w:val="nil"/>
              <w:left w:val="nil"/>
              <w:bottom w:val="nil"/>
              <w:right w:val="nil"/>
            </w:tcBorders>
            <w:shd w:val="clear" w:color="auto" w:fill="auto"/>
            <w:noWrap/>
            <w:vAlign w:val="bottom"/>
            <w:hideMark/>
          </w:tcPr>
          <w:p w14:paraId="5B3D9C3E" w14:textId="77777777" w:rsidR="001538C8" w:rsidRPr="001538C8" w:rsidRDefault="001538C8" w:rsidP="001538C8">
            <w:pPr>
              <w:jc w:val="left"/>
              <w:rPr>
                <w:rFonts w:cs="Arial"/>
                <w:sz w:val="24"/>
                <w:szCs w:val="24"/>
              </w:rPr>
            </w:pPr>
          </w:p>
        </w:tc>
        <w:tc>
          <w:tcPr>
            <w:tcW w:w="1084" w:type="dxa"/>
            <w:tcBorders>
              <w:top w:val="nil"/>
              <w:left w:val="nil"/>
              <w:bottom w:val="nil"/>
              <w:right w:val="nil"/>
            </w:tcBorders>
            <w:shd w:val="clear" w:color="auto" w:fill="auto"/>
            <w:noWrap/>
            <w:vAlign w:val="bottom"/>
            <w:hideMark/>
          </w:tcPr>
          <w:p w14:paraId="659FD30F" w14:textId="77777777" w:rsidR="001538C8" w:rsidRPr="001538C8" w:rsidRDefault="001538C8" w:rsidP="001538C8">
            <w:pPr>
              <w:jc w:val="left"/>
              <w:rPr>
                <w:rFonts w:cs="Arial"/>
                <w:sz w:val="24"/>
                <w:szCs w:val="24"/>
              </w:rPr>
            </w:pPr>
          </w:p>
        </w:tc>
      </w:tr>
      <w:tr w:rsidR="001538C8" w:rsidRPr="001538C8" w14:paraId="1CF5F6E4" w14:textId="77777777" w:rsidTr="00EB431C">
        <w:trPr>
          <w:trHeight w:val="288"/>
        </w:trPr>
        <w:tc>
          <w:tcPr>
            <w:tcW w:w="5080" w:type="dxa"/>
            <w:tcBorders>
              <w:top w:val="nil"/>
              <w:left w:val="nil"/>
              <w:bottom w:val="nil"/>
              <w:right w:val="nil"/>
            </w:tcBorders>
            <w:shd w:val="clear" w:color="auto" w:fill="auto"/>
            <w:noWrap/>
            <w:vAlign w:val="bottom"/>
            <w:hideMark/>
          </w:tcPr>
          <w:p w14:paraId="656DB2F5" w14:textId="77777777" w:rsidR="001538C8" w:rsidRPr="001538C8" w:rsidRDefault="001538C8" w:rsidP="001538C8">
            <w:pPr>
              <w:jc w:val="left"/>
              <w:rPr>
                <w:rFonts w:cs="Arial"/>
                <w:color w:val="000000"/>
                <w:sz w:val="24"/>
                <w:szCs w:val="24"/>
              </w:rPr>
            </w:pPr>
            <w:r w:rsidRPr="001538C8">
              <w:rPr>
                <w:rFonts w:cs="Arial"/>
                <w:color w:val="000000"/>
                <w:sz w:val="24"/>
                <w:szCs w:val="24"/>
              </w:rPr>
              <w:t>Less options:</w:t>
            </w:r>
          </w:p>
        </w:tc>
        <w:tc>
          <w:tcPr>
            <w:tcW w:w="1084" w:type="dxa"/>
            <w:tcBorders>
              <w:top w:val="nil"/>
              <w:left w:val="nil"/>
              <w:bottom w:val="nil"/>
              <w:right w:val="nil"/>
            </w:tcBorders>
            <w:shd w:val="clear" w:color="auto" w:fill="auto"/>
            <w:noWrap/>
            <w:vAlign w:val="bottom"/>
            <w:hideMark/>
          </w:tcPr>
          <w:p w14:paraId="3C773CB7" w14:textId="77777777" w:rsidR="001538C8" w:rsidRPr="001538C8" w:rsidRDefault="001538C8" w:rsidP="001538C8">
            <w:pPr>
              <w:jc w:val="left"/>
              <w:rPr>
                <w:rFonts w:cs="Arial"/>
                <w:color w:val="000000"/>
                <w:sz w:val="24"/>
                <w:szCs w:val="24"/>
              </w:rPr>
            </w:pPr>
          </w:p>
        </w:tc>
        <w:tc>
          <w:tcPr>
            <w:tcW w:w="1084" w:type="dxa"/>
            <w:tcBorders>
              <w:top w:val="nil"/>
              <w:left w:val="nil"/>
              <w:bottom w:val="nil"/>
              <w:right w:val="nil"/>
            </w:tcBorders>
            <w:shd w:val="clear" w:color="auto" w:fill="auto"/>
            <w:noWrap/>
            <w:vAlign w:val="bottom"/>
            <w:hideMark/>
          </w:tcPr>
          <w:p w14:paraId="45611EE8" w14:textId="77777777" w:rsidR="001538C8" w:rsidRPr="001538C8" w:rsidRDefault="001538C8" w:rsidP="001538C8">
            <w:pPr>
              <w:jc w:val="left"/>
              <w:rPr>
                <w:rFonts w:cs="Arial"/>
                <w:sz w:val="24"/>
                <w:szCs w:val="24"/>
              </w:rPr>
            </w:pPr>
          </w:p>
        </w:tc>
        <w:tc>
          <w:tcPr>
            <w:tcW w:w="1084" w:type="dxa"/>
            <w:tcBorders>
              <w:top w:val="nil"/>
              <w:left w:val="nil"/>
              <w:bottom w:val="nil"/>
              <w:right w:val="nil"/>
            </w:tcBorders>
            <w:shd w:val="clear" w:color="auto" w:fill="auto"/>
            <w:noWrap/>
            <w:vAlign w:val="bottom"/>
            <w:hideMark/>
          </w:tcPr>
          <w:p w14:paraId="39EB8FBC" w14:textId="77777777" w:rsidR="001538C8" w:rsidRPr="001538C8" w:rsidRDefault="001538C8" w:rsidP="001538C8">
            <w:pPr>
              <w:jc w:val="left"/>
              <w:rPr>
                <w:rFonts w:cs="Arial"/>
                <w:sz w:val="24"/>
                <w:szCs w:val="24"/>
              </w:rPr>
            </w:pPr>
          </w:p>
        </w:tc>
      </w:tr>
      <w:tr w:rsidR="001538C8" w:rsidRPr="001538C8" w14:paraId="0CD77738" w14:textId="77777777" w:rsidTr="00EB431C">
        <w:trPr>
          <w:trHeight w:val="288"/>
        </w:trPr>
        <w:tc>
          <w:tcPr>
            <w:tcW w:w="5080" w:type="dxa"/>
            <w:tcBorders>
              <w:top w:val="nil"/>
              <w:left w:val="nil"/>
              <w:bottom w:val="nil"/>
              <w:right w:val="nil"/>
            </w:tcBorders>
            <w:shd w:val="clear" w:color="auto" w:fill="auto"/>
            <w:noWrap/>
            <w:vAlign w:val="bottom"/>
            <w:hideMark/>
          </w:tcPr>
          <w:p w14:paraId="230D4945" w14:textId="77777777" w:rsidR="001538C8" w:rsidRPr="001538C8" w:rsidRDefault="001538C8" w:rsidP="001538C8">
            <w:pPr>
              <w:jc w:val="left"/>
              <w:rPr>
                <w:rFonts w:cs="Arial"/>
                <w:color w:val="000000"/>
                <w:sz w:val="24"/>
                <w:szCs w:val="24"/>
              </w:rPr>
            </w:pPr>
            <w:r w:rsidRPr="001538C8">
              <w:rPr>
                <w:rFonts w:cs="Arial"/>
                <w:color w:val="000000"/>
                <w:sz w:val="24"/>
                <w:szCs w:val="24"/>
              </w:rPr>
              <w:t>Council Tax @ £5 for and D</w:t>
            </w:r>
          </w:p>
        </w:tc>
        <w:tc>
          <w:tcPr>
            <w:tcW w:w="1084" w:type="dxa"/>
            <w:tcBorders>
              <w:top w:val="nil"/>
              <w:left w:val="nil"/>
              <w:bottom w:val="nil"/>
              <w:right w:val="nil"/>
            </w:tcBorders>
            <w:shd w:val="clear" w:color="auto" w:fill="auto"/>
            <w:noWrap/>
            <w:vAlign w:val="bottom"/>
            <w:hideMark/>
          </w:tcPr>
          <w:p w14:paraId="4FC097A2" w14:textId="77777777" w:rsidR="001538C8" w:rsidRPr="001538C8" w:rsidRDefault="001538C8" w:rsidP="001538C8">
            <w:pPr>
              <w:jc w:val="right"/>
              <w:rPr>
                <w:rFonts w:cs="Arial"/>
                <w:color w:val="000000"/>
                <w:sz w:val="24"/>
                <w:szCs w:val="24"/>
              </w:rPr>
            </w:pPr>
            <w:r w:rsidRPr="001538C8">
              <w:rPr>
                <w:rFonts w:cs="Arial"/>
                <w:color w:val="000000"/>
                <w:sz w:val="24"/>
                <w:szCs w:val="24"/>
              </w:rPr>
              <w:t>167</w:t>
            </w:r>
          </w:p>
        </w:tc>
        <w:tc>
          <w:tcPr>
            <w:tcW w:w="1084" w:type="dxa"/>
            <w:tcBorders>
              <w:top w:val="nil"/>
              <w:left w:val="nil"/>
              <w:bottom w:val="nil"/>
              <w:right w:val="nil"/>
            </w:tcBorders>
            <w:shd w:val="clear" w:color="auto" w:fill="auto"/>
            <w:noWrap/>
            <w:vAlign w:val="bottom"/>
            <w:hideMark/>
          </w:tcPr>
          <w:p w14:paraId="2A860B34" w14:textId="77777777" w:rsidR="001538C8" w:rsidRPr="001538C8" w:rsidRDefault="001538C8" w:rsidP="001538C8">
            <w:pPr>
              <w:jc w:val="right"/>
              <w:rPr>
                <w:rFonts w:cs="Arial"/>
                <w:color w:val="000000"/>
                <w:sz w:val="24"/>
                <w:szCs w:val="24"/>
              </w:rPr>
            </w:pPr>
            <w:r w:rsidRPr="001538C8">
              <w:rPr>
                <w:rFonts w:cs="Arial"/>
                <w:color w:val="000000"/>
                <w:sz w:val="24"/>
                <w:szCs w:val="24"/>
              </w:rPr>
              <w:t>167</w:t>
            </w:r>
          </w:p>
        </w:tc>
        <w:tc>
          <w:tcPr>
            <w:tcW w:w="1084" w:type="dxa"/>
            <w:tcBorders>
              <w:top w:val="nil"/>
              <w:left w:val="nil"/>
              <w:bottom w:val="nil"/>
              <w:right w:val="nil"/>
            </w:tcBorders>
            <w:shd w:val="clear" w:color="auto" w:fill="auto"/>
            <w:noWrap/>
            <w:vAlign w:val="bottom"/>
            <w:hideMark/>
          </w:tcPr>
          <w:p w14:paraId="73688C33" w14:textId="77777777" w:rsidR="001538C8" w:rsidRPr="001538C8" w:rsidRDefault="001538C8" w:rsidP="001538C8">
            <w:pPr>
              <w:jc w:val="right"/>
              <w:rPr>
                <w:rFonts w:cs="Arial"/>
                <w:color w:val="000000"/>
                <w:sz w:val="24"/>
                <w:szCs w:val="24"/>
              </w:rPr>
            </w:pPr>
            <w:r w:rsidRPr="001538C8">
              <w:rPr>
                <w:rFonts w:cs="Arial"/>
                <w:color w:val="000000"/>
                <w:sz w:val="24"/>
                <w:szCs w:val="24"/>
              </w:rPr>
              <w:t>167</w:t>
            </w:r>
          </w:p>
        </w:tc>
      </w:tr>
      <w:tr w:rsidR="001538C8" w:rsidRPr="001538C8" w14:paraId="12C65C04" w14:textId="77777777" w:rsidTr="00EB431C">
        <w:trPr>
          <w:trHeight w:val="288"/>
        </w:trPr>
        <w:tc>
          <w:tcPr>
            <w:tcW w:w="5080" w:type="dxa"/>
            <w:tcBorders>
              <w:top w:val="nil"/>
              <w:left w:val="nil"/>
              <w:bottom w:val="nil"/>
              <w:right w:val="nil"/>
            </w:tcBorders>
            <w:shd w:val="clear" w:color="auto" w:fill="auto"/>
            <w:noWrap/>
            <w:vAlign w:val="bottom"/>
            <w:hideMark/>
          </w:tcPr>
          <w:p w14:paraId="41054808" w14:textId="77777777" w:rsidR="001538C8" w:rsidRPr="001538C8" w:rsidRDefault="001538C8" w:rsidP="001538C8">
            <w:pPr>
              <w:jc w:val="left"/>
              <w:rPr>
                <w:rFonts w:cs="Arial"/>
                <w:color w:val="000000"/>
                <w:sz w:val="24"/>
                <w:szCs w:val="24"/>
              </w:rPr>
            </w:pPr>
            <w:r w:rsidRPr="001538C8">
              <w:rPr>
                <w:rFonts w:cs="Arial"/>
                <w:color w:val="000000"/>
                <w:sz w:val="24"/>
                <w:szCs w:val="24"/>
              </w:rPr>
              <w:t>Revenue Support Grant</w:t>
            </w:r>
          </w:p>
        </w:tc>
        <w:tc>
          <w:tcPr>
            <w:tcW w:w="1084" w:type="dxa"/>
            <w:tcBorders>
              <w:top w:val="nil"/>
              <w:left w:val="nil"/>
              <w:bottom w:val="nil"/>
              <w:right w:val="nil"/>
            </w:tcBorders>
            <w:shd w:val="clear" w:color="auto" w:fill="auto"/>
            <w:noWrap/>
            <w:vAlign w:val="bottom"/>
            <w:hideMark/>
          </w:tcPr>
          <w:p w14:paraId="02A92697" w14:textId="77777777" w:rsidR="001538C8" w:rsidRPr="001538C8" w:rsidRDefault="001538C8" w:rsidP="001538C8">
            <w:pPr>
              <w:jc w:val="right"/>
              <w:rPr>
                <w:rFonts w:cs="Arial"/>
                <w:color w:val="000000"/>
                <w:sz w:val="24"/>
                <w:szCs w:val="24"/>
              </w:rPr>
            </w:pPr>
            <w:r w:rsidRPr="001538C8">
              <w:rPr>
                <w:rFonts w:cs="Arial"/>
                <w:color w:val="000000"/>
                <w:sz w:val="24"/>
                <w:szCs w:val="24"/>
              </w:rPr>
              <w:t>250</w:t>
            </w:r>
          </w:p>
        </w:tc>
        <w:tc>
          <w:tcPr>
            <w:tcW w:w="1084" w:type="dxa"/>
            <w:tcBorders>
              <w:top w:val="nil"/>
              <w:left w:val="nil"/>
              <w:bottom w:val="nil"/>
              <w:right w:val="nil"/>
            </w:tcBorders>
            <w:shd w:val="clear" w:color="auto" w:fill="auto"/>
            <w:noWrap/>
            <w:vAlign w:val="bottom"/>
            <w:hideMark/>
          </w:tcPr>
          <w:p w14:paraId="2E3A0D81" w14:textId="77777777" w:rsidR="001538C8" w:rsidRPr="001538C8" w:rsidRDefault="001538C8" w:rsidP="001538C8">
            <w:pPr>
              <w:jc w:val="right"/>
              <w:rPr>
                <w:rFonts w:cs="Arial"/>
                <w:color w:val="000000"/>
                <w:sz w:val="24"/>
                <w:szCs w:val="24"/>
              </w:rPr>
            </w:pPr>
            <w:r w:rsidRPr="001538C8">
              <w:rPr>
                <w:rFonts w:cs="Arial"/>
                <w:color w:val="000000"/>
                <w:sz w:val="24"/>
                <w:szCs w:val="24"/>
              </w:rPr>
              <w:t>0</w:t>
            </w:r>
          </w:p>
        </w:tc>
        <w:tc>
          <w:tcPr>
            <w:tcW w:w="1084" w:type="dxa"/>
            <w:tcBorders>
              <w:top w:val="nil"/>
              <w:left w:val="nil"/>
              <w:bottom w:val="nil"/>
              <w:right w:val="nil"/>
            </w:tcBorders>
            <w:shd w:val="clear" w:color="auto" w:fill="auto"/>
            <w:noWrap/>
            <w:vAlign w:val="bottom"/>
            <w:hideMark/>
          </w:tcPr>
          <w:p w14:paraId="0424CC82" w14:textId="77777777" w:rsidR="001538C8" w:rsidRPr="001538C8" w:rsidRDefault="001538C8" w:rsidP="001538C8">
            <w:pPr>
              <w:jc w:val="right"/>
              <w:rPr>
                <w:rFonts w:cs="Arial"/>
                <w:color w:val="000000"/>
                <w:sz w:val="24"/>
                <w:szCs w:val="24"/>
              </w:rPr>
            </w:pPr>
            <w:r w:rsidRPr="001538C8">
              <w:rPr>
                <w:rFonts w:cs="Arial"/>
                <w:color w:val="000000"/>
                <w:sz w:val="24"/>
                <w:szCs w:val="24"/>
              </w:rPr>
              <w:t>0</w:t>
            </w:r>
          </w:p>
        </w:tc>
      </w:tr>
      <w:tr w:rsidR="001538C8" w:rsidRPr="001538C8" w14:paraId="2C69AD09" w14:textId="77777777" w:rsidTr="00EB431C">
        <w:trPr>
          <w:trHeight w:val="288"/>
        </w:trPr>
        <w:tc>
          <w:tcPr>
            <w:tcW w:w="5080" w:type="dxa"/>
            <w:tcBorders>
              <w:top w:val="nil"/>
              <w:left w:val="nil"/>
              <w:bottom w:val="nil"/>
              <w:right w:val="nil"/>
            </w:tcBorders>
            <w:shd w:val="clear" w:color="auto" w:fill="auto"/>
            <w:noWrap/>
            <w:vAlign w:val="bottom"/>
            <w:hideMark/>
          </w:tcPr>
          <w:p w14:paraId="5EC4AF30" w14:textId="77777777" w:rsidR="001538C8" w:rsidRPr="001538C8" w:rsidRDefault="001538C8" w:rsidP="001538C8">
            <w:pPr>
              <w:jc w:val="left"/>
              <w:rPr>
                <w:rFonts w:cs="Arial"/>
                <w:color w:val="000000"/>
                <w:sz w:val="24"/>
                <w:szCs w:val="24"/>
              </w:rPr>
            </w:pPr>
            <w:r w:rsidRPr="001538C8">
              <w:rPr>
                <w:rFonts w:cs="Arial"/>
                <w:color w:val="000000"/>
                <w:sz w:val="24"/>
                <w:szCs w:val="24"/>
              </w:rPr>
              <w:t>New Homes Bonus</w:t>
            </w:r>
          </w:p>
        </w:tc>
        <w:tc>
          <w:tcPr>
            <w:tcW w:w="1084" w:type="dxa"/>
            <w:tcBorders>
              <w:top w:val="nil"/>
              <w:left w:val="nil"/>
              <w:bottom w:val="nil"/>
              <w:right w:val="nil"/>
            </w:tcBorders>
            <w:shd w:val="clear" w:color="auto" w:fill="auto"/>
            <w:noWrap/>
            <w:vAlign w:val="bottom"/>
            <w:hideMark/>
          </w:tcPr>
          <w:p w14:paraId="3A81A4F2" w14:textId="77777777" w:rsidR="001538C8" w:rsidRPr="001538C8" w:rsidRDefault="001538C8" w:rsidP="001538C8">
            <w:pPr>
              <w:jc w:val="right"/>
              <w:rPr>
                <w:rFonts w:cs="Arial"/>
                <w:color w:val="000000"/>
                <w:sz w:val="24"/>
                <w:szCs w:val="24"/>
              </w:rPr>
            </w:pPr>
            <w:r w:rsidRPr="001538C8">
              <w:rPr>
                <w:rFonts w:cs="Arial"/>
                <w:color w:val="000000"/>
                <w:sz w:val="24"/>
                <w:szCs w:val="24"/>
              </w:rPr>
              <w:t>268</w:t>
            </w:r>
          </w:p>
        </w:tc>
        <w:tc>
          <w:tcPr>
            <w:tcW w:w="1084" w:type="dxa"/>
            <w:tcBorders>
              <w:top w:val="nil"/>
              <w:left w:val="nil"/>
              <w:bottom w:val="nil"/>
              <w:right w:val="nil"/>
            </w:tcBorders>
            <w:shd w:val="clear" w:color="auto" w:fill="auto"/>
            <w:noWrap/>
            <w:vAlign w:val="bottom"/>
            <w:hideMark/>
          </w:tcPr>
          <w:p w14:paraId="1AA1AFF5" w14:textId="77777777" w:rsidR="001538C8" w:rsidRPr="001538C8" w:rsidRDefault="001538C8" w:rsidP="001538C8">
            <w:pPr>
              <w:jc w:val="right"/>
              <w:rPr>
                <w:rFonts w:cs="Arial"/>
                <w:color w:val="000000"/>
                <w:sz w:val="24"/>
                <w:szCs w:val="24"/>
              </w:rPr>
            </w:pPr>
            <w:r w:rsidRPr="001538C8">
              <w:rPr>
                <w:rFonts w:cs="Arial"/>
                <w:color w:val="000000"/>
                <w:sz w:val="24"/>
                <w:szCs w:val="24"/>
              </w:rPr>
              <w:t>0</w:t>
            </w:r>
          </w:p>
        </w:tc>
        <w:tc>
          <w:tcPr>
            <w:tcW w:w="1084" w:type="dxa"/>
            <w:tcBorders>
              <w:top w:val="nil"/>
              <w:left w:val="nil"/>
              <w:bottom w:val="nil"/>
              <w:right w:val="nil"/>
            </w:tcBorders>
            <w:shd w:val="clear" w:color="auto" w:fill="auto"/>
            <w:noWrap/>
            <w:vAlign w:val="bottom"/>
            <w:hideMark/>
          </w:tcPr>
          <w:p w14:paraId="47E80DE4" w14:textId="77777777" w:rsidR="001538C8" w:rsidRPr="001538C8" w:rsidRDefault="001538C8" w:rsidP="001538C8">
            <w:pPr>
              <w:jc w:val="right"/>
              <w:rPr>
                <w:rFonts w:cs="Arial"/>
                <w:color w:val="000000"/>
                <w:sz w:val="24"/>
                <w:szCs w:val="24"/>
              </w:rPr>
            </w:pPr>
            <w:r w:rsidRPr="001538C8">
              <w:rPr>
                <w:rFonts w:cs="Arial"/>
                <w:color w:val="000000"/>
                <w:sz w:val="24"/>
                <w:szCs w:val="24"/>
              </w:rPr>
              <w:t>0</w:t>
            </w:r>
          </w:p>
        </w:tc>
      </w:tr>
      <w:tr w:rsidR="001538C8" w:rsidRPr="001538C8" w14:paraId="1D5F64D9" w14:textId="77777777" w:rsidTr="00EB431C">
        <w:trPr>
          <w:trHeight w:val="288"/>
        </w:trPr>
        <w:tc>
          <w:tcPr>
            <w:tcW w:w="5080" w:type="dxa"/>
            <w:tcBorders>
              <w:top w:val="nil"/>
              <w:left w:val="nil"/>
              <w:bottom w:val="nil"/>
              <w:right w:val="nil"/>
            </w:tcBorders>
            <w:shd w:val="clear" w:color="auto" w:fill="auto"/>
            <w:noWrap/>
            <w:vAlign w:val="bottom"/>
            <w:hideMark/>
          </w:tcPr>
          <w:p w14:paraId="6D1FF780" w14:textId="77777777" w:rsidR="001538C8" w:rsidRPr="001538C8" w:rsidRDefault="001538C8" w:rsidP="001538C8">
            <w:pPr>
              <w:jc w:val="left"/>
              <w:rPr>
                <w:rFonts w:cs="Arial"/>
                <w:color w:val="000000"/>
                <w:sz w:val="24"/>
                <w:szCs w:val="24"/>
              </w:rPr>
            </w:pPr>
            <w:r w:rsidRPr="001538C8">
              <w:rPr>
                <w:rFonts w:cs="Arial"/>
                <w:color w:val="000000"/>
                <w:sz w:val="24"/>
                <w:szCs w:val="24"/>
              </w:rPr>
              <w:t>Lower Tier Services Grant</w:t>
            </w:r>
          </w:p>
        </w:tc>
        <w:tc>
          <w:tcPr>
            <w:tcW w:w="1084" w:type="dxa"/>
            <w:tcBorders>
              <w:top w:val="nil"/>
              <w:left w:val="nil"/>
              <w:bottom w:val="nil"/>
              <w:right w:val="nil"/>
            </w:tcBorders>
            <w:shd w:val="clear" w:color="auto" w:fill="auto"/>
            <w:noWrap/>
            <w:vAlign w:val="bottom"/>
            <w:hideMark/>
          </w:tcPr>
          <w:p w14:paraId="7E66E368" w14:textId="77777777" w:rsidR="001538C8" w:rsidRPr="001538C8" w:rsidRDefault="001538C8" w:rsidP="001538C8">
            <w:pPr>
              <w:jc w:val="right"/>
              <w:rPr>
                <w:rFonts w:cs="Arial"/>
                <w:color w:val="000000"/>
                <w:sz w:val="24"/>
                <w:szCs w:val="24"/>
              </w:rPr>
            </w:pPr>
            <w:r w:rsidRPr="001538C8">
              <w:rPr>
                <w:rFonts w:cs="Arial"/>
                <w:color w:val="000000"/>
                <w:sz w:val="24"/>
                <w:szCs w:val="24"/>
              </w:rPr>
              <w:t>159</w:t>
            </w:r>
          </w:p>
        </w:tc>
        <w:tc>
          <w:tcPr>
            <w:tcW w:w="1084" w:type="dxa"/>
            <w:tcBorders>
              <w:top w:val="nil"/>
              <w:left w:val="nil"/>
              <w:bottom w:val="nil"/>
              <w:right w:val="nil"/>
            </w:tcBorders>
            <w:shd w:val="clear" w:color="auto" w:fill="auto"/>
            <w:noWrap/>
            <w:vAlign w:val="bottom"/>
            <w:hideMark/>
          </w:tcPr>
          <w:p w14:paraId="4C2EFB00" w14:textId="77777777" w:rsidR="001538C8" w:rsidRPr="001538C8" w:rsidRDefault="001538C8" w:rsidP="001538C8">
            <w:pPr>
              <w:jc w:val="right"/>
              <w:rPr>
                <w:rFonts w:cs="Arial"/>
                <w:color w:val="000000"/>
                <w:sz w:val="24"/>
                <w:szCs w:val="24"/>
              </w:rPr>
            </w:pPr>
            <w:r w:rsidRPr="001538C8">
              <w:rPr>
                <w:rFonts w:cs="Arial"/>
                <w:color w:val="000000"/>
                <w:sz w:val="24"/>
                <w:szCs w:val="24"/>
              </w:rPr>
              <w:t>0</w:t>
            </w:r>
          </w:p>
        </w:tc>
        <w:tc>
          <w:tcPr>
            <w:tcW w:w="1084" w:type="dxa"/>
            <w:tcBorders>
              <w:top w:val="nil"/>
              <w:left w:val="nil"/>
              <w:bottom w:val="nil"/>
              <w:right w:val="nil"/>
            </w:tcBorders>
            <w:shd w:val="clear" w:color="auto" w:fill="auto"/>
            <w:noWrap/>
            <w:vAlign w:val="bottom"/>
            <w:hideMark/>
          </w:tcPr>
          <w:p w14:paraId="41601055" w14:textId="77777777" w:rsidR="001538C8" w:rsidRPr="001538C8" w:rsidRDefault="001538C8" w:rsidP="001538C8">
            <w:pPr>
              <w:jc w:val="right"/>
              <w:rPr>
                <w:rFonts w:cs="Arial"/>
                <w:color w:val="000000"/>
                <w:sz w:val="24"/>
                <w:szCs w:val="24"/>
              </w:rPr>
            </w:pPr>
            <w:r w:rsidRPr="001538C8">
              <w:rPr>
                <w:rFonts w:cs="Arial"/>
                <w:color w:val="000000"/>
                <w:sz w:val="24"/>
                <w:szCs w:val="24"/>
              </w:rPr>
              <w:t>0</w:t>
            </w:r>
          </w:p>
        </w:tc>
      </w:tr>
      <w:tr w:rsidR="001538C8" w:rsidRPr="001538C8" w14:paraId="1530A4B1" w14:textId="77777777" w:rsidTr="00EB431C">
        <w:trPr>
          <w:trHeight w:val="288"/>
        </w:trPr>
        <w:tc>
          <w:tcPr>
            <w:tcW w:w="5080" w:type="dxa"/>
            <w:tcBorders>
              <w:top w:val="nil"/>
              <w:left w:val="nil"/>
              <w:bottom w:val="nil"/>
              <w:right w:val="nil"/>
            </w:tcBorders>
            <w:shd w:val="clear" w:color="auto" w:fill="auto"/>
            <w:noWrap/>
            <w:vAlign w:val="bottom"/>
            <w:hideMark/>
          </w:tcPr>
          <w:p w14:paraId="6FAC95BF" w14:textId="77777777" w:rsidR="001538C8" w:rsidRPr="001538C8" w:rsidRDefault="001538C8" w:rsidP="001538C8">
            <w:pPr>
              <w:jc w:val="left"/>
              <w:rPr>
                <w:rFonts w:cs="Arial"/>
                <w:color w:val="000000"/>
                <w:sz w:val="24"/>
                <w:szCs w:val="24"/>
              </w:rPr>
            </w:pPr>
            <w:r w:rsidRPr="001538C8">
              <w:rPr>
                <w:rFonts w:cs="Arial"/>
                <w:color w:val="000000"/>
                <w:sz w:val="24"/>
                <w:szCs w:val="24"/>
              </w:rPr>
              <w:t>Pay Freeze (net impact)</w:t>
            </w:r>
          </w:p>
        </w:tc>
        <w:tc>
          <w:tcPr>
            <w:tcW w:w="1084" w:type="dxa"/>
            <w:tcBorders>
              <w:top w:val="nil"/>
              <w:left w:val="nil"/>
              <w:bottom w:val="nil"/>
              <w:right w:val="nil"/>
            </w:tcBorders>
            <w:shd w:val="clear" w:color="auto" w:fill="auto"/>
            <w:noWrap/>
            <w:vAlign w:val="bottom"/>
            <w:hideMark/>
          </w:tcPr>
          <w:p w14:paraId="4AF9B413" w14:textId="77777777" w:rsidR="001538C8" w:rsidRPr="001538C8" w:rsidRDefault="001538C8" w:rsidP="001538C8">
            <w:pPr>
              <w:jc w:val="right"/>
              <w:rPr>
                <w:rFonts w:cs="Arial"/>
                <w:color w:val="000000"/>
                <w:sz w:val="24"/>
                <w:szCs w:val="24"/>
              </w:rPr>
            </w:pPr>
            <w:r w:rsidRPr="001538C8">
              <w:rPr>
                <w:rFonts w:cs="Arial"/>
                <w:color w:val="000000"/>
                <w:sz w:val="24"/>
                <w:szCs w:val="24"/>
              </w:rPr>
              <w:t>217</w:t>
            </w:r>
          </w:p>
        </w:tc>
        <w:tc>
          <w:tcPr>
            <w:tcW w:w="1084" w:type="dxa"/>
            <w:tcBorders>
              <w:top w:val="nil"/>
              <w:left w:val="nil"/>
              <w:bottom w:val="nil"/>
              <w:right w:val="nil"/>
            </w:tcBorders>
            <w:shd w:val="clear" w:color="auto" w:fill="auto"/>
            <w:noWrap/>
            <w:vAlign w:val="bottom"/>
            <w:hideMark/>
          </w:tcPr>
          <w:p w14:paraId="687E281F" w14:textId="77777777" w:rsidR="001538C8" w:rsidRPr="001538C8" w:rsidRDefault="001538C8" w:rsidP="001538C8">
            <w:pPr>
              <w:jc w:val="right"/>
              <w:rPr>
                <w:rFonts w:cs="Arial"/>
                <w:color w:val="000000"/>
                <w:sz w:val="24"/>
                <w:szCs w:val="24"/>
              </w:rPr>
            </w:pPr>
            <w:r w:rsidRPr="001538C8">
              <w:rPr>
                <w:rFonts w:cs="Arial"/>
                <w:color w:val="000000"/>
                <w:sz w:val="24"/>
                <w:szCs w:val="24"/>
              </w:rPr>
              <w:t>217</w:t>
            </w:r>
          </w:p>
        </w:tc>
        <w:tc>
          <w:tcPr>
            <w:tcW w:w="1084" w:type="dxa"/>
            <w:tcBorders>
              <w:top w:val="nil"/>
              <w:left w:val="nil"/>
              <w:bottom w:val="nil"/>
              <w:right w:val="nil"/>
            </w:tcBorders>
            <w:shd w:val="clear" w:color="auto" w:fill="auto"/>
            <w:noWrap/>
            <w:vAlign w:val="bottom"/>
            <w:hideMark/>
          </w:tcPr>
          <w:p w14:paraId="4AD62AB1" w14:textId="77777777" w:rsidR="001538C8" w:rsidRPr="001538C8" w:rsidRDefault="001538C8" w:rsidP="001538C8">
            <w:pPr>
              <w:jc w:val="right"/>
              <w:rPr>
                <w:rFonts w:cs="Arial"/>
                <w:color w:val="000000"/>
                <w:sz w:val="24"/>
                <w:szCs w:val="24"/>
              </w:rPr>
            </w:pPr>
            <w:r w:rsidRPr="001538C8">
              <w:rPr>
                <w:rFonts w:cs="Arial"/>
                <w:color w:val="000000"/>
                <w:sz w:val="24"/>
                <w:szCs w:val="24"/>
              </w:rPr>
              <w:t>217</w:t>
            </w:r>
          </w:p>
        </w:tc>
      </w:tr>
      <w:tr w:rsidR="001538C8" w:rsidRPr="001538C8" w14:paraId="28816328" w14:textId="77777777" w:rsidTr="00EB431C">
        <w:trPr>
          <w:trHeight w:val="288"/>
        </w:trPr>
        <w:tc>
          <w:tcPr>
            <w:tcW w:w="5080" w:type="dxa"/>
            <w:tcBorders>
              <w:top w:val="nil"/>
              <w:left w:val="nil"/>
              <w:bottom w:val="nil"/>
              <w:right w:val="nil"/>
            </w:tcBorders>
            <w:shd w:val="clear" w:color="auto" w:fill="auto"/>
            <w:noWrap/>
            <w:vAlign w:val="bottom"/>
            <w:hideMark/>
          </w:tcPr>
          <w:p w14:paraId="062ACC5B" w14:textId="4BE90DEC" w:rsidR="001538C8" w:rsidRPr="001538C8" w:rsidRDefault="001538C8" w:rsidP="001538C8">
            <w:pPr>
              <w:jc w:val="left"/>
              <w:rPr>
                <w:rFonts w:cs="Arial"/>
                <w:color w:val="000000"/>
                <w:sz w:val="24"/>
                <w:szCs w:val="24"/>
              </w:rPr>
            </w:pPr>
            <w:r w:rsidRPr="001538C8">
              <w:rPr>
                <w:rFonts w:cs="Arial"/>
                <w:color w:val="000000"/>
                <w:sz w:val="24"/>
                <w:szCs w:val="24"/>
              </w:rPr>
              <w:t>Increase in Mansfield Woodhouse Train Station to £2 daily charge</w:t>
            </w:r>
          </w:p>
        </w:tc>
        <w:tc>
          <w:tcPr>
            <w:tcW w:w="1084" w:type="dxa"/>
            <w:tcBorders>
              <w:top w:val="nil"/>
              <w:left w:val="nil"/>
              <w:bottom w:val="nil"/>
              <w:right w:val="nil"/>
            </w:tcBorders>
            <w:shd w:val="clear" w:color="auto" w:fill="auto"/>
            <w:noWrap/>
            <w:vAlign w:val="bottom"/>
            <w:hideMark/>
          </w:tcPr>
          <w:p w14:paraId="32EE7F6C" w14:textId="77777777" w:rsidR="001538C8" w:rsidRPr="001538C8" w:rsidRDefault="001538C8" w:rsidP="001538C8">
            <w:pPr>
              <w:jc w:val="right"/>
              <w:rPr>
                <w:rFonts w:cs="Arial"/>
                <w:color w:val="000000"/>
                <w:sz w:val="24"/>
                <w:szCs w:val="24"/>
              </w:rPr>
            </w:pPr>
            <w:r w:rsidRPr="001538C8">
              <w:rPr>
                <w:rFonts w:cs="Arial"/>
                <w:color w:val="000000"/>
                <w:sz w:val="24"/>
                <w:szCs w:val="24"/>
              </w:rPr>
              <w:t>20</w:t>
            </w:r>
          </w:p>
        </w:tc>
        <w:tc>
          <w:tcPr>
            <w:tcW w:w="1084" w:type="dxa"/>
            <w:tcBorders>
              <w:top w:val="nil"/>
              <w:left w:val="nil"/>
              <w:bottom w:val="nil"/>
              <w:right w:val="nil"/>
            </w:tcBorders>
            <w:shd w:val="clear" w:color="auto" w:fill="auto"/>
            <w:noWrap/>
            <w:vAlign w:val="bottom"/>
            <w:hideMark/>
          </w:tcPr>
          <w:p w14:paraId="029B2D34" w14:textId="77777777" w:rsidR="001538C8" w:rsidRPr="001538C8" w:rsidRDefault="001538C8" w:rsidP="001538C8">
            <w:pPr>
              <w:jc w:val="right"/>
              <w:rPr>
                <w:rFonts w:cs="Arial"/>
                <w:color w:val="000000"/>
                <w:sz w:val="24"/>
                <w:szCs w:val="24"/>
              </w:rPr>
            </w:pPr>
            <w:r w:rsidRPr="001538C8">
              <w:rPr>
                <w:rFonts w:cs="Arial"/>
                <w:color w:val="000000"/>
                <w:sz w:val="24"/>
                <w:szCs w:val="24"/>
              </w:rPr>
              <w:t>20</w:t>
            </w:r>
          </w:p>
        </w:tc>
        <w:tc>
          <w:tcPr>
            <w:tcW w:w="1084" w:type="dxa"/>
            <w:tcBorders>
              <w:top w:val="nil"/>
              <w:left w:val="nil"/>
              <w:bottom w:val="nil"/>
              <w:right w:val="nil"/>
            </w:tcBorders>
            <w:shd w:val="clear" w:color="auto" w:fill="auto"/>
            <w:noWrap/>
            <w:vAlign w:val="bottom"/>
            <w:hideMark/>
          </w:tcPr>
          <w:p w14:paraId="1621C4A3" w14:textId="77777777" w:rsidR="001538C8" w:rsidRPr="001538C8" w:rsidRDefault="001538C8" w:rsidP="001538C8">
            <w:pPr>
              <w:jc w:val="right"/>
              <w:rPr>
                <w:rFonts w:cs="Arial"/>
                <w:color w:val="000000"/>
                <w:sz w:val="24"/>
                <w:szCs w:val="24"/>
              </w:rPr>
            </w:pPr>
            <w:r w:rsidRPr="001538C8">
              <w:rPr>
                <w:rFonts w:cs="Arial"/>
                <w:color w:val="000000"/>
                <w:sz w:val="24"/>
                <w:szCs w:val="24"/>
              </w:rPr>
              <w:t>20</w:t>
            </w:r>
          </w:p>
        </w:tc>
      </w:tr>
      <w:tr w:rsidR="001538C8" w:rsidRPr="001538C8" w14:paraId="6092102A" w14:textId="77777777" w:rsidTr="00EB431C">
        <w:trPr>
          <w:trHeight w:val="288"/>
        </w:trPr>
        <w:tc>
          <w:tcPr>
            <w:tcW w:w="5080" w:type="dxa"/>
            <w:tcBorders>
              <w:top w:val="nil"/>
              <w:left w:val="nil"/>
              <w:bottom w:val="nil"/>
              <w:right w:val="nil"/>
            </w:tcBorders>
            <w:shd w:val="clear" w:color="auto" w:fill="auto"/>
            <w:noWrap/>
            <w:vAlign w:val="bottom"/>
            <w:hideMark/>
          </w:tcPr>
          <w:p w14:paraId="06C5BA05" w14:textId="77777777" w:rsidR="001538C8" w:rsidRPr="001538C8" w:rsidRDefault="001538C8" w:rsidP="001538C8">
            <w:pPr>
              <w:jc w:val="left"/>
              <w:rPr>
                <w:rFonts w:cs="Arial"/>
                <w:color w:val="000000"/>
                <w:sz w:val="24"/>
                <w:szCs w:val="24"/>
              </w:rPr>
            </w:pPr>
            <w:r w:rsidRPr="001538C8">
              <w:rPr>
                <w:rFonts w:cs="Arial"/>
                <w:color w:val="000000"/>
                <w:sz w:val="24"/>
                <w:szCs w:val="24"/>
              </w:rPr>
              <w:t>Reduce My Mansfield to 2 issues</w:t>
            </w:r>
          </w:p>
        </w:tc>
        <w:tc>
          <w:tcPr>
            <w:tcW w:w="1084" w:type="dxa"/>
            <w:tcBorders>
              <w:top w:val="nil"/>
              <w:left w:val="nil"/>
              <w:bottom w:val="nil"/>
              <w:right w:val="nil"/>
            </w:tcBorders>
            <w:shd w:val="clear" w:color="auto" w:fill="auto"/>
            <w:noWrap/>
            <w:vAlign w:val="bottom"/>
            <w:hideMark/>
          </w:tcPr>
          <w:p w14:paraId="6A7E060A" w14:textId="77777777" w:rsidR="001538C8" w:rsidRPr="001538C8" w:rsidRDefault="001538C8" w:rsidP="001538C8">
            <w:pPr>
              <w:jc w:val="right"/>
              <w:rPr>
                <w:rFonts w:cs="Arial"/>
                <w:color w:val="000000"/>
                <w:sz w:val="24"/>
                <w:szCs w:val="24"/>
              </w:rPr>
            </w:pPr>
            <w:r w:rsidRPr="001538C8">
              <w:rPr>
                <w:rFonts w:cs="Arial"/>
                <w:color w:val="000000"/>
                <w:sz w:val="24"/>
                <w:szCs w:val="24"/>
              </w:rPr>
              <w:t>10</w:t>
            </w:r>
          </w:p>
        </w:tc>
        <w:tc>
          <w:tcPr>
            <w:tcW w:w="1084" w:type="dxa"/>
            <w:tcBorders>
              <w:top w:val="nil"/>
              <w:left w:val="nil"/>
              <w:bottom w:val="nil"/>
              <w:right w:val="nil"/>
            </w:tcBorders>
            <w:shd w:val="clear" w:color="auto" w:fill="auto"/>
            <w:noWrap/>
            <w:vAlign w:val="bottom"/>
            <w:hideMark/>
          </w:tcPr>
          <w:p w14:paraId="7FBA9E9F" w14:textId="77777777" w:rsidR="001538C8" w:rsidRPr="001538C8" w:rsidRDefault="001538C8" w:rsidP="001538C8">
            <w:pPr>
              <w:jc w:val="right"/>
              <w:rPr>
                <w:rFonts w:cs="Arial"/>
                <w:color w:val="000000"/>
                <w:sz w:val="24"/>
                <w:szCs w:val="24"/>
              </w:rPr>
            </w:pPr>
            <w:r w:rsidRPr="001538C8">
              <w:rPr>
                <w:rFonts w:cs="Arial"/>
                <w:color w:val="000000"/>
                <w:sz w:val="24"/>
                <w:szCs w:val="24"/>
              </w:rPr>
              <w:t>10</w:t>
            </w:r>
          </w:p>
        </w:tc>
        <w:tc>
          <w:tcPr>
            <w:tcW w:w="1084" w:type="dxa"/>
            <w:tcBorders>
              <w:top w:val="nil"/>
              <w:left w:val="nil"/>
              <w:bottom w:val="nil"/>
              <w:right w:val="nil"/>
            </w:tcBorders>
            <w:shd w:val="clear" w:color="auto" w:fill="auto"/>
            <w:noWrap/>
            <w:vAlign w:val="bottom"/>
            <w:hideMark/>
          </w:tcPr>
          <w:p w14:paraId="356436AB" w14:textId="77777777" w:rsidR="001538C8" w:rsidRPr="001538C8" w:rsidRDefault="001538C8" w:rsidP="001538C8">
            <w:pPr>
              <w:jc w:val="right"/>
              <w:rPr>
                <w:rFonts w:cs="Arial"/>
                <w:color w:val="000000"/>
                <w:sz w:val="24"/>
                <w:szCs w:val="24"/>
              </w:rPr>
            </w:pPr>
            <w:r w:rsidRPr="001538C8">
              <w:rPr>
                <w:rFonts w:cs="Arial"/>
                <w:color w:val="000000"/>
                <w:sz w:val="24"/>
                <w:szCs w:val="24"/>
              </w:rPr>
              <w:t>10</w:t>
            </w:r>
          </w:p>
        </w:tc>
      </w:tr>
      <w:tr w:rsidR="001538C8" w:rsidRPr="001538C8" w14:paraId="63DD9D7A" w14:textId="77777777" w:rsidTr="00EB431C">
        <w:trPr>
          <w:trHeight w:val="288"/>
        </w:trPr>
        <w:tc>
          <w:tcPr>
            <w:tcW w:w="5080" w:type="dxa"/>
            <w:tcBorders>
              <w:top w:val="nil"/>
              <w:left w:val="nil"/>
              <w:bottom w:val="nil"/>
              <w:right w:val="nil"/>
            </w:tcBorders>
            <w:shd w:val="clear" w:color="auto" w:fill="auto"/>
            <w:noWrap/>
            <w:vAlign w:val="bottom"/>
            <w:hideMark/>
          </w:tcPr>
          <w:p w14:paraId="5E83177D" w14:textId="77777777" w:rsidR="001538C8" w:rsidRPr="001538C8" w:rsidRDefault="001538C8" w:rsidP="001538C8">
            <w:pPr>
              <w:jc w:val="left"/>
              <w:rPr>
                <w:rFonts w:cs="Arial"/>
                <w:color w:val="000000"/>
                <w:sz w:val="24"/>
                <w:szCs w:val="24"/>
              </w:rPr>
            </w:pPr>
            <w:r w:rsidRPr="001538C8">
              <w:rPr>
                <w:rFonts w:cs="Arial"/>
                <w:color w:val="000000"/>
                <w:sz w:val="24"/>
                <w:szCs w:val="24"/>
              </w:rPr>
              <w:t>Reduction in Cabinet Member</w:t>
            </w:r>
          </w:p>
        </w:tc>
        <w:tc>
          <w:tcPr>
            <w:tcW w:w="1084" w:type="dxa"/>
            <w:tcBorders>
              <w:top w:val="nil"/>
              <w:left w:val="nil"/>
              <w:bottom w:val="nil"/>
              <w:right w:val="nil"/>
            </w:tcBorders>
            <w:shd w:val="clear" w:color="auto" w:fill="auto"/>
            <w:noWrap/>
            <w:vAlign w:val="bottom"/>
            <w:hideMark/>
          </w:tcPr>
          <w:p w14:paraId="6628F664" w14:textId="77777777" w:rsidR="001538C8" w:rsidRPr="001538C8" w:rsidRDefault="001538C8" w:rsidP="001538C8">
            <w:pPr>
              <w:jc w:val="right"/>
              <w:rPr>
                <w:rFonts w:cs="Arial"/>
                <w:color w:val="000000"/>
                <w:sz w:val="24"/>
                <w:szCs w:val="24"/>
              </w:rPr>
            </w:pPr>
            <w:r w:rsidRPr="001538C8">
              <w:rPr>
                <w:rFonts w:cs="Arial"/>
                <w:color w:val="000000"/>
                <w:sz w:val="24"/>
                <w:szCs w:val="24"/>
              </w:rPr>
              <w:t>15</w:t>
            </w:r>
          </w:p>
        </w:tc>
        <w:tc>
          <w:tcPr>
            <w:tcW w:w="1084" w:type="dxa"/>
            <w:tcBorders>
              <w:top w:val="nil"/>
              <w:left w:val="nil"/>
              <w:bottom w:val="nil"/>
              <w:right w:val="nil"/>
            </w:tcBorders>
            <w:shd w:val="clear" w:color="auto" w:fill="auto"/>
            <w:noWrap/>
            <w:vAlign w:val="bottom"/>
            <w:hideMark/>
          </w:tcPr>
          <w:p w14:paraId="4C814E51" w14:textId="77777777" w:rsidR="001538C8" w:rsidRPr="001538C8" w:rsidRDefault="001538C8" w:rsidP="001538C8">
            <w:pPr>
              <w:jc w:val="right"/>
              <w:rPr>
                <w:rFonts w:cs="Arial"/>
                <w:color w:val="000000"/>
                <w:sz w:val="24"/>
                <w:szCs w:val="24"/>
              </w:rPr>
            </w:pPr>
            <w:r w:rsidRPr="001538C8">
              <w:rPr>
                <w:rFonts w:cs="Arial"/>
                <w:color w:val="000000"/>
                <w:sz w:val="24"/>
                <w:szCs w:val="24"/>
              </w:rPr>
              <w:t>15</w:t>
            </w:r>
          </w:p>
        </w:tc>
        <w:tc>
          <w:tcPr>
            <w:tcW w:w="1084" w:type="dxa"/>
            <w:tcBorders>
              <w:top w:val="nil"/>
              <w:left w:val="nil"/>
              <w:bottom w:val="nil"/>
              <w:right w:val="nil"/>
            </w:tcBorders>
            <w:shd w:val="clear" w:color="auto" w:fill="auto"/>
            <w:noWrap/>
            <w:vAlign w:val="bottom"/>
            <w:hideMark/>
          </w:tcPr>
          <w:p w14:paraId="17A65A29" w14:textId="77777777" w:rsidR="001538C8" w:rsidRPr="001538C8" w:rsidRDefault="001538C8" w:rsidP="001538C8">
            <w:pPr>
              <w:jc w:val="right"/>
              <w:rPr>
                <w:rFonts w:cs="Arial"/>
                <w:color w:val="000000"/>
                <w:sz w:val="24"/>
                <w:szCs w:val="24"/>
              </w:rPr>
            </w:pPr>
            <w:r w:rsidRPr="001538C8">
              <w:rPr>
                <w:rFonts w:cs="Arial"/>
                <w:color w:val="000000"/>
                <w:sz w:val="24"/>
                <w:szCs w:val="24"/>
              </w:rPr>
              <w:t>15</w:t>
            </w:r>
          </w:p>
        </w:tc>
      </w:tr>
      <w:tr w:rsidR="001538C8" w:rsidRPr="001538C8" w14:paraId="4C817819" w14:textId="77777777" w:rsidTr="00EB431C">
        <w:trPr>
          <w:trHeight w:val="288"/>
        </w:trPr>
        <w:tc>
          <w:tcPr>
            <w:tcW w:w="5080" w:type="dxa"/>
            <w:tcBorders>
              <w:top w:val="nil"/>
              <w:left w:val="nil"/>
              <w:bottom w:val="nil"/>
              <w:right w:val="nil"/>
            </w:tcBorders>
            <w:shd w:val="clear" w:color="auto" w:fill="auto"/>
            <w:noWrap/>
            <w:vAlign w:val="bottom"/>
            <w:hideMark/>
          </w:tcPr>
          <w:p w14:paraId="47EF2F35" w14:textId="77777777" w:rsidR="001538C8" w:rsidRPr="001538C8" w:rsidRDefault="001538C8" w:rsidP="001538C8">
            <w:pPr>
              <w:jc w:val="left"/>
              <w:rPr>
                <w:rFonts w:cs="Arial"/>
                <w:color w:val="000000"/>
                <w:sz w:val="24"/>
                <w:szCs w:val="24"/>
              </w:rPr>
            </w:pPr>
            <w:r w:rsidRPr="001538C8">
              <w:rPr>
                <w:rFonts w:cs="Arial"/>
                <w:color w:val="000000"/>
                <w:sz w:val="24"/>
                <w:szCs w:val="24"/>
              </w:rPr>
              <w:t>10% reduction in Special Responsibility</w:t>
            </w:r>
          </w:p>
        </w:tc>
        <w:tc>
          <w:tcPr>
            <w:tcW w:w="1084" w:type="dxa"/>
            <w:tcBorders>
              <w:top w:val="nil"/>
              <w:left w:val="nil"/>
              <w:right w:val="nil"/>
            </w:tcBorders>
            <w:shd w:val="clear" w:color="auto" w:fill="auto"/>
            <w:noWrap/>
            <w:vAlign w:val="bottom"/>
            <w:hideMark/>
          </w:tcPr>
          <w:p w14:paraId="3DF2CE95" w14:textId="77777777" w:rsidR="001538C8" w:rsidRPr="001538C8" w:rsidRDefault="001538C8" w:rsidP="001538C8">
            <w:pPr>
              <w:jc w:val="right"/>
              <w:rPr>
                <w:rFonts w:cs="Arial"/>
                <w:color w:val="000000"/>
                <w:sz w:val="24"/>
                <w:szCs w:val="24"/>
              </w:rPr>
            </w:pPr>
            <w:r w:rsidRPr="001538C8">
              <w:rPr>
                <w:rFonts w:cs="Arial"/>
                <w:color w:val="000000"/>
                <w:sz w:val="24"/>
                <w:szCs w:val="24"/>
              </w:rPr>
              <w:t>20</w:t>
            </w:r>
          </w:p>
        </w:tc>
        <w:tc>
          <w:tcPr>
            <w:tcW w:w="1084" w:type="dxa"/>
            <w:tcBorders>
              <w:top w:val="nil"/>
              <w:left w:val="nil"/>
              <w:right w:val="nil"/>
            </w:tcBorders>
            <w:shd w:val="clear" w:color="auto" w:fill="auto"/>
            <w:noWrap/>
            <w:vAlign w:val="bottom"/>
            <w:hideMark/>
          </w:tcPr>
          <w:p w14:paraId="26EC0B2A" w14:textId="77777777" w:rsidR="001538C8" w:rsidRPr="001538C8" w:rsidRDefault="001538C8" w:rsidP="001538C8">
            <w:pPr>
              <w:jc w:val="right"/>
              <w:rPr>
                <w:rFonts w:cs="Arial"/>
                <w:color w:val="000000"/>
                <w:sz w:val="24"/>
                <w:szCs w:val="24"/>
              </w:rPr>
            </w:pPr>
            <w:r w:rsidRPr="001538C8">
              <w:rPr>
                <w:rFonts w:cs="Arial"/>
                <w:color w:val="000000"/>
                <w:sz w:val="24"/>
                <w:szCs w:val="24"/>
              </w:rPr>
              <w:t>20</w:t>
            </w:r>
          </w:p>
        </w:tc>
        <w:tc>
          <w:tcPr>
            <w:tcW w:w="1084" w:type="dxa"/>
            <w:tcBorders>
              <w:top w:val="nil"/>
              <w:left w:val="nil"/>
              <w:right w:val="nil"/>
            </w:tcBorders>
            <w:shd w:val="clear" w:color="auto" w:fill="auto"/>
            <w:noWrap/>
            <w:vAlign w:val="bottom"/>
            <w:hideMark/>
          </w:tcPr>
          <w:p w14:paraId="4875065A" w14:textId="77777777" w:rsidR="001538C8" w:rsidRPr="001538C8" w:rsidRDefault="001538C8" w:rsidP="001538C8">
            <w:pPr>
              <w:jc w:val="right"/>
              <w:rPr>
                <w:rFonts w:cs="Arial"/>
                <w:color w:val="000000"/>
                <w:sz w:val="24"/>
                <w:szCs w:val="24"/>
              </w:rPr>
            </w:pPr>
            <w:r w:rsidRPr="001538C8">
              <w:rPr>
                <w:rFonts w:cs="Arial"/>
                <w:color w:val="000000"/>
                <w:sz w:val="24"/>
                <w:szCs w:val="24"/>
              </w:rPr>
              <w:t>20</w:t>
            </w:r>
          </w:p>
        </w:tc>
      </w:tr>
      <w:tr w:rsidR="001538C8" w:rsidRPr="001538C8" w14:paraId="3A66E15E" w14:textId="77777777" w:rsidTr="00EB431C">
        <w:trPr>
          <w:trHeight w:val="288"/>
        </w:trPr>
        <w:tc>
          <w:tcPr>
            <w:tcW w:w="5080" w:type="dxa"/>
            <w:tcBorders>
              <w:top w:val="nil"/>
              <w:left w:val="nil"/>
              <w:bottom w:val="nil"/>
              <w:right w:val="nil"/>
            </w:tcBorders>
            <w:shd w:val="clear" w:color="auto" w:fill="auto"/>
            <w:noWrap/>
            <w:vAlign w:val="bottom"/>
            <w:hideMark/>
          </w:tcPr>
          <w:p w14:paraId="1DE922E9" w14:textId="00F15F84" w:rsidR="001538C8" w:rsidRPr="001538C8" w:rsidRDefault="001538C8" w:rsidP="001538C8">
            <w:pPr>
              <w:jc w:val="left"/>
              <w:rPr>
                <w:rFonts w:cs="Arial"/>
                <w:color w:val="000000"/>
                <w:sz w:val="24"/>
                <w:szCs w:val="24"/>
              </w:rPr>
            </w:pPr>
            <w:r w:rsidRPr="001538C8">
              <w:rPr>
                <w:rFonts w:cs="Arial"/>
                <w:color w:val="000000"/>
                <w:sz w:val="24"/>
                <w:szCs w:val="24"/>
              </w:rPr>
              <w:t>Contribution to Earmarked Reserves</w:t>
            </w:r>
          </w:p>
        </w:tc>
        <w:tc>
          <w:tcPr>
            <w:tcW w:w="1084" w:type="dxa"/>
            <w:tcBorders>
              <w:top w:val="nil"/>
              <w:left w:val="nil"/>
              <w:bottom w:val="single" w:sz="4" w:space="0" w:color="auto"/>
              <w:right w:val="nil"/>
            </w:tcBorders>
            <w:shd w:val="clear" w:color="auto" w:fill="auto"/>
            <w:noWrap/>
            <w:vAlign w:val="bottom"/>
            <w:hideMark/>
          </w:tcPr>
          <w:p w14:paraId="13ED1798" w14:textId="77777777" w:rsidR="001538C8" w:rsidRPr="001538C8" w:rsidRDefault="001538C8" w:rsidP="001538C8">
            <w:pPr>
              <w:jc w:val="right"/>
              <w:rPr>
                <w:rFonts w:cs="Arial"/>
                <w:color w:val="000000"/>
                <w:sz w:val="24"/>
                <w:szCs w:val="24"/>
              </w:rPr>
            </w:pPr>
            <w:r w:rsidRPr="001538C8">
              <w:rPr>
                <w:rFonts w:cs="Arial"/>
                <w:color w:val="000000"/>
                <w:sz w:val="24"/>
                <w:szCs w:val="24"/>
              </w:rPr>
              <w:t>-296</w:t>
            </w:r>
          </w:p>
        </w:tc>
        <w:tc>
          <w:tcPr>
            <w:tcW w:w="1084" w:type="dxa"/>
            <w:tcBorders>
              <w:top w:val="nil"/>
              <w:left w:val="nil"/>
              <w:bottom w:val="single" w:sz="4" w:space="0" w:color="auto"/>
              <w:right w:val="nil"/>
            </w:tcBorders>
            <w:shd w:val="clear" w:color="auto" w:fill="auto"/>
            <w:noWrap/>
            <w:vAlign w:val="bottom"/>
            <w:hideMark/>
          </w:tcPr>
          <w:p w14:paraId="09AED89F" w14:textId="77777777" w:rsidR="001538C8" w:rsidRPr="001538C8" w:rsidRDefault="001538C8" w:rsidP="001538C8">
            <w:pPr>
              <w:jc w:val="right"/>
              <w:rPr>
                <w:rFonts w:cs="Arial"/>
                <w:color w:val="000000"/>
                <w:sz w:val="24"/>
                <w:szCs w:val="24"/>
              </w:rPr>
            </w:pPr>
            <w:r w:rsidRPr="001538C8">
              <w:rPr>
                <w:rFonts w:cs="Arial"/>
                <w:color w:val="000000"/>
                <w:sz w:val="24"/>
                <w:szCs w:val="24"/>
              </w:rPr>
              <w:t>0</w:t>
            </w:r>
          </w:p>
        </w:tc>
        <w:tc>
          <w:tcPr>
            <w:tcW w:w="1084" w:type="dxa"/>
            <w:tcBorders>
              <w:top w:val="nil"/>
              <w:left w:val="nil"/>
              <w:bottom w:val="single" w:sz="4" w:space="0" w:color="auto"/>
              <w:right w:val="nil"/>
            </w:tcBorders>
            <w:shd w:val="clear" w:color="auto" w:fill="auto"/>
            <w:noWrap/>
            <w:vAlign w:val="bottom"/>
            <w:hideMark/>
          </w:tcPr>
          <w:p w14:paraId="13B8FA4C" w14:textId="77777777" w:rsidR="001538C8" w:rsidRPr="001538C8" w:rsidRDefault="001538C8" w:rsidP="001538C8">
            <w:pPr>
              <w:jc w:val="right"/>
              <w:rPr>
                <w:rFonts w:cs="Arial"/>
                <w:color w:val="000000"/>
                <w:sz w:val="24"/>
                <w:szCs w:val="24"/>
              </w:rPr>
            </w:pPr>
            <w:r w:rsidRPr="001538C8">
              <w:rPr>
                <w:rFonts w:cs="Arial"/>
                <w:color w:val="000000"/>
                <w:sz w:val="24"/>
                <w:szCs w:val="24"/>
              </w:rPr>
              <w:t>0</w:t>
            </w:r>
          </w:p>
        </w:tc>
      </w:tr>
      <w:tr w:rsidR="001538C8" w:rsidRPr="001538C8" w14:paraId="597FF73A" w14:textId="77777777" w:rsidTr="00EB431C">
        <w:trPr>
          <w:trHeight w:val="288"/>
        </w:trPr>
        <w:tc>
          <w:tcPr>
            <w:tcW w:w="5080" w:type="dxa"/>
            <w:tcBorders>
              <w:top w:val="nil"/>
              <w:left w:val="nil"/>
              <w:bottom w:val="nil"/>
              <w:right w:val="nil"/>
            </w:tcBorders>
            <w:shd w:val="clear" w:color="auto" w:fill="auto"/>
            <w:noWrap/>
            <w:vAlign w:val="bottom"/>
            <w:hideMark/>
          </w:tcPr>
          <w:p w14:paraId="18565B7D" w14:textId="77777777" w:rsidR="001538C8" w:rsidRPr="001538C8" w:rsidRDefault="001538C8" w:rsidP="001538C8">
            <w:pPr>
              <w:jc w:val="right"/>
              <w:rPr>
                <w:rFonts w:cs="Arial"/>
                <w:color w:val="000000"/>
                <w:sz w:val="24"/>
                <w:szCs w:val="24"/>
              </w:rPr>
            </w:pPr>
          </w:p>
        </w:tc>
        <w:tc>
          <w:tcPr>
            <w:tcW w:w="1084" w:type="dxa"/>
            <w:tcBorders>
              <w:top w:val="single" w:sz="4" w:space="0" w:color="auto"/>
              <w:left w:val="nil"/>
              <w:bottom w:val="nil"/>
              <w:right w:val="nil"/>
            </w:tcBorders>
            <w:shd w:val="clear" w:color="auto" w:fill="auto"/>
            <w:noWrap/>
            <w:vAlign w:val="bottom"/>
            <w:hideMark/>
          </w:tcPr>
          <w:p w14:paraId="44008322" w14:textId="77777777" w:rsidR="001538C8" w:rsidRPr="001538C8" w:rsidRDefault="001538C8" w:rsidP="001538C8">
            <w:pPr>
              <w:jc w:val="right"/>
              <w:rPr>
                <w:rFonts w:cs="Arial"/>
                <w:color w:val="000000"/>
                <w:sz w:val="24"/>
                <w:szCs w:val="24"/>
              </w:rPr>
            </w:pPr>
            <w:r w:rsidRPr="001538C8">
              <w:rPr>
                <w:rFonts w:cs="Arial"/>
                <w:color w:val="000000"/>
                <w:sz w:val="24"/>
                <w:szCs w:val="24"/>
              </w:rPr>
              <w:t>830</w:t>
            </w:r>
          </w:p>
        </w:tc>
        <w:tc>
          <w:tcPr>
            <w:tcW w:w="1084" w:type="dxa"/>
            <w:tcBorders>
              <w:top w:val="single" w:sz="4" w:space="0" w:color="auto"/>
              <w:left w:val="nil"/>
              <w:bottom w:val="nil"/>
              <w:right w:val="nil"/>
            </w:tcBorders>
            <w:shd w:val="clear" w:color="auto" w:fill="auto"/>
            <w:noWrap/>
            <w:vAlign w:val="bottom"/>
            <w:hideMark/>
          </w:tcPr>
          <w:p w14:paraId="62B37615" w14:textId="77777777" w:rsidR="001538C8" w:rsidRPr="001538C8" w:rsidRDefault="001538C8" w:rsidP="001538C8">
            <w:pPr>
              <w:jc w:val="right"/>
              <w:rPr>
                <w:rFonts w:cs="Arial"/>
                <w:color w:val="000000"/>
                <w:sz w:val="24"/>
                <w:szCs w:val="24"/>
              </w:rPr>
            </w:pPr>
            <w:r w:rsidRPr="001538C8">
              <w:rPr>
                <w:rFonts w:cs="Arial"/>
                <w:color w:val="000000"/>
                <w:sz w:val="24"/>
                <w:szCs w:val="24"/>
              </w:rPr>
              <w:t>449</w:t>
            </w:r>
          </w:p>
        </w:tc>
        <w:tc>
          <w:tcPr>
            <w:tcW w:w="1084" w:type="dxa"/>
            <w:tcBorders>
              <w:top w:val="single" w:sz="4" w:space="0" w:color="auto"/>
              <w:left w:val="nil"/>
              <w:bottom w:val="nil"/>
              <w:right w:val="nil"/>
            </w:tcBorders>
            <w:shd w:val="clear" w:color="auto" w:fill="auto"/>
            <w:noWrap/>
            <w:vAlign w:val="bottom"/>
            <w:hideMark/>
          </w:tcPr>
          <w:p w14:paraId="19C5EF74" w14:textId="77777777" w:rsidR="001538C8" w:rsidRPr="001538C8" w:rsidRDefault="001538C8" w:rsidP="001538C8">
            <w:pPr>
              <w:jc w:val="right"/>
              <w:rPr>
                <w:rFonts w:cs="Arial"/>
                <w:color w:val="000000"/>
                <w:sz w:val="24"/>
                <w:szCs w:val="24"/>
              </w:rPr>
            </w:pPr>
            <w:r w:rsidRPr="001538C8">
              <w:rPr>
                <w:rFonts w:cs="Arial"/>
                <w:color w:val="000000"/>
                <w:sz w:val="24"/>
                <w:szCs w:val="24"/>
              </w:rPr>
              <w:t>449</w:t>
            </w:r>
          </w:p>
        </w:tc>
      </w:tr>
      <w:tr w:rsidR="001538C8" w:rsidRPr="001538C8" w14:paraId="06E34E0A" w14:textId="77777777" w:rsidTr="00EB431C">
        <w:trPr>
          <w:trHeight w:val="288"/>
        </w:trPr>
        <w:tc>
          <w:tcPr>
            <w:tcW w:w="5080" w:type="dxa"/>
            <w:tcBorders>
              <w:top w:val="nil"/>
              <w:left w:val="nil"/>
              <w:bottom w:val="nil"/>
              <w:right w:val="nil"/>
            </w:tcBorders>
            <w:shd w:val="clear" w:color="auto" w:fill="auto"/>
            <w:noWrap/>
            <w:vAlign w:val="bottom"/>
            <w:hideMark/>
          </w:tcPr>
          <w:p w14:paraId="1D3C4DDB" w14:textId="77777777" w:rsidR="001538C8" w:rsidRPr="001538C8" w:rsidRDefault="001538C8" w:rsidP="001538C8">
            <w:pPr>
              <w:jc w:val="right"/>
              <w:rPr>
                <w:rFonts w:cs="Arial"/>
                <w:color w:val="000000"/>
                <w:sz w:val="24"/>
                <w:szCs w:val="24"/>
              </w:rPr>
            </w:pPr>
          </w:p>
        </w:tc>
        <w:tc>
          <w:tcPr>
            <w:tcW w:w="1084" w:type="dxa"/>
            <w:tcBorders>
              <w:top w:val="nil"/>
              <w:left w:val="nil"/>
              <w:bottom w:val="nil"/>
              <w:right w:val="nil"/>
            </w:tcBorders>
            <w:shd w:val="clear" w:color="auto" w:fill="auto"/>
            <w:noWrap/>
            <w:vAlign w:val="bottom"/>
            <w:hideMark/>
          </w:tcPr>
          <w:p w14:paraId="2D837F9C" w14:textId="77777777" w:rsidR="001538C8" w:rsidRPr="001538C8" w:rsidRDefault="001538C8" w:rsidP="001538C8">
            <w:pPr>
              <w:jc w:val="left"/>
              <w:rPr>
                <w:rFonts w:cs="Arial"/>
                <w:sz w:val="24"/>
                <w:szCs w:val="24"/>
              </w:rPr>
            </w:pPr>
          </w:p>
        </w:tc>
        <w:tc>
          <w:tcPr>
            <w:tcW w:w="1084" w:type="dxa"/>
            <w:tcBorders>
              <w:top w:val="nil"/>
              <w:left w:val="nil"/>
              <w:bottom w:val="nil"/>
              <w:right w:val="nil"/>
            </w:tcBorders>
            <w:shd w:val="clear" w:color="auto" w:fill="auto"/>
            <w:noWrap/>
            <w:vAlign w:val="bottom"/>
            <w:hideMark/>
          </w:tcPr>
          <w:p w14:paraId="28C34E3A" w14:textId="77777777" w:rsidR="001538C8" w:rsidRPr="001538C8" w:rsidRDefault="001538C8" w:rsidP="001538C8">
            <w:pPr>
              <w:jc w:val="left"/>
              <w:rPr>
                <w:rFonts w:cs="Arial"/>
                <w:sz w:val="24"/>
                <w:szCs w:val="24"/>
              </w:rPr>
            </w:pPr>
          </w:p>
        </w:tc>
        <w:tc>
          <w:tcPr>
            <w:tcW w:w="1084" w:type="dxa"/>
            <w:tcBorders>
              <w:top w:val="nil"/>
              <w:left w:val="nil"/>
              <w:bottom w:val="nil"/>
              <w:right w:val="nil"/>
            </w:tcBorders>
            <w:shd w:val="clear" w:color="auto" w:fill="auto"/>
            <w:noWrap/>
            <w:vAlign w:val="bottom"/>
            <w:hideMark/>
          </w:tcPr>
          <w:p w14:paraId="679CD6A4" w14:textId="77777777" w:rsidR="001538C8" w:rsidRPr="001538C8" w:rsidRDefault="001538C8" w:rsidP="001538C8">
            <w:pPr>
              <w:jc w:val="left"/>
              <w:rPr>
                <w:rFonts w:cs="Arial"/>
                <w:sz w:val="24"/>
                <w:szCs w:val="24"/>
              </w:rPr>
            </w:pPr>
          </w:p>
        </w:tc>
      </w:tr>
      <w:tr w:rsidR="001538C8" w:rsidRPr="001538C8" w14:paraId="67DA3994" w14:textId="77777777" w:rsidTr="00EB431C">
        <w:trPr>
          <w:trHeight w:val="288"/>
        </w:trPr>
        <w:tc>
          <w:tcPr>
            <w:tcW w:w="5080" w:type="dxa"/>
            <w:tcBorders>
              <w:top w:val="nil"/>
              <w:left w:val="nil"/>
              <w:bottom w:val="nil"/>
              <w:right w:val="nil"/>
            </w:tcBorders>
            <w:shd w:val="clear" w:color="auto" w:fill="auto"/>
            <w:noWrap/>
            <w:vAlign w:val="bottom"/>
            <w:hideMark/>
          </w:tcPr>
          <w:p w14:paraId="59357DCB" w14:textId="77777777" w:rsidR="001538C8" w:rsidRPr="001538C8" w:rsidRDefault="001538C8" w:rsidP="001538C8">
            <w:pPr>
              <w:jc w:val="left"/>
              <w:rPr>
                <w:rFonts w:cs="Arial"/>
                <w:color w:val="000000"/>
                <w:sz w:val="24"/>
                <w:szCs w:val="24"/>
              </w:rPr>
            </w:pPr>
            <w:r w:rsidRPr="001538C8">
              <w:rPr>
                <w:rFonts w:cs="Arial"/>
                <w:color w:val="000000"/>
                <w:sz w:val="24"/>
                <w:szCs w:val="24"/>
              </w:rPr>
              <w:t>Unidentified Savings</w:t>
            </w:r>
          </w:p>
        </w:tc>
        <w:tc>
          <w:tcPr>
            <w:tcW w:w="1084" w:type="dxa"/>
            <w:tcBorders>
              <w:top w:val="nil"/>
              <w:left w:val="nil"/>
              <w:bottom w:val="nil"/>
              <w:right w:val="nil"/>
            </w:tcBorders>
            <w:shd w:val="clear" w:color="auto" w:fill="auto"/>
            <w:noWrap/>
            <w:vAlign w:val="bottom"/>
            <w:hideMark/>
          </w:tcPr>
          <w:p w14:paraId="7427BC5E" w14:textId="77777777" w:rsidR="001538C8" w:rsidRPr="001538C8" w:rsidRDefault="001538C8" w:rsidP="001538C8">
            <w:pPr>
              <w:jc w:val="right"/>
              <w:rPr>
                <w:rFonts w:cs="Arial"/>
                <w:color w:val="000000"/>
                <w:sz w:val="24"/>
                <w:szCs w:val="24"/>
              </w:rPr>
            </w:pPr>
            <w:r w:rsidRPr="001538C8">
              <w:rPr>
                <w:rFonts w:cs="Arial"/>
                <w:color w:val="000000"/>
                <w:sz w:val="24"/>
                <w:szCs w:val="24"/>
              </w:rPr>
              <w:t>0</w:t>
            </w:r>
          </w:p>
        </w:tc>
        <w:tc>
          <w:tcPr>
            <w:tcW w:w="1084" w:type="dxa"/>
            <w:tcBorders>
              <w:top w:val="nil"/>
              <w:left w:val="nil"/>
              <w:bottom w:val="nil"/>
              <w:right w:val="nil"/>
            </w:tcBorders>
            <w:shd w:val="clear" w:color="auto" w:fill="auto"/>
            <w:noWrap/>
            <w:vAlign w:val="bottom"/>
            <w:hideMark/>
          </w:tcPr>
          <w:p w14:paraId="33726A5F" w14:textId="77777777" w:rsidR="001538C8" w:rsidRPr="001538C8" w:rsidRDefault="001538C8" w:rsidP="001538C8">
            <w:pPr>
              <w:jc w:val="right"/>
              <w:rPr>
                <w:rFonts w:cs="Arial"/>
                <w:color w:val="000000"/>
                <w:sz w:val="24"/>
                <w:szCs w:val="24"/>
              </w:rPr>
            </w:pPr>
            <w:r w:rsidRPr="001538C8">
              <w:rPr>
                <w:rFonts w:cs="Arial"/>
                <w:color w:val="000000"/>
                <w:sz w:val="24"/>
                <w:szCs w:val="24"/>
              </w:rPr>
              <w:t>881</w:t>
            </w:r>
          </w:p>
        </w:tc>
        <w:tc>
          <w:tcPr>
            <w:tcW w:w="1084" w:type="dxa"/>
            <w:tcBorders>
              <w:top w:val="nil"/>
              <w:left w:val="nil"/>
              <w:bottom w:val="nil"/>
              <w:right w:val="nil"/>
            </w:tcBorders>
            <w:shd w:val="clear" w:color="auto" w:fill="auto"/>
            <w:noWrap/>
            <w:vAlign w:val="bottom"/>
            <w:hideMark/>
          </w:tcPr>
          <w:p w14:paraId="47677AAE" w14:textId="77777777" w:rsidR="001538C8" w:rsidRPr="001538C8" w:rsidRDefault="001538C8" w:rsidP="001538C8">
            <w:pPr>
              <w:jc w:val="right"/>
              <w:rPr>
                <w:rFonts w:cs="Arial"/>
                <w:color w:val="000000"/>
                <w:sz w:val="24"/>
                <w:szCs w:val="24"/>
              </w:rPr>
            </w:pPr>
            <w:r w:rsidRPr="001538C8">
              <w:rPr>
                <w:rFonts w:cs="Arial"/>
                <w:color w:val="000000"/>
                <w:sz w:val="24"/>
                <w:szCs w:val="24"/>
              </w:rPr>
              <w:t>962</w:t>
            </w:r>
          </w:p>
        </w:tc>
      </w:tr>
    </w:tbl>
    <w:p w14:paraId="685349B5" w14:textId="77777777" w:rsidR="0032522F" w:rsidRDefault="0032522F" w:rsidP="00223FC8">
      <w:pPr>
        <w:rPr>
          <w:b/>
          <w:sz w:val="32"/>
          <w:szCs w:val="32"/>
        </w:rPr>
      </w:pPr>
    </w:p>
    <w:p w14:paraId="1934A389" w14:textId="77777777" w:rsidR="00755F99" w:rsidRDefault="00755F99">
      <w:pPr>
        <w:jc w:val="left"/>
        <w:rPr>
          <w:b/>
          <w:sz w:val="32"/>
          <w:szCs w:val="32"/>
        </w:rPr>
      </w:pPr>
      <w:r>
        <w:rPr>
          <w:b/>
          <w:sz w:val="32"/>
          <w:szCs w:val="32"/>
        </w:rPr>
        <w:br w:type="page"/>
      </w:r>
    </w:p>
    <w:p w14:paraId="2A9407E7" w14:textId="180F2CC1" w:rsidR="00FF1195" w:rsidRDefault="00611F1A" w:rsidP="00223FC8">
      <w:pPr>
        <w:rPr>
          <w:b/>
          <w:sz w:val="32"/>
          <w:szCs w:val="32"/>
        </w:rPr>
      </w:pPr>
      <w:r w:rsidRPr="00537DC3">
        <w:rPr>
          <w:b/>
          <w:sz w:val="32"/>
          <w:szCs w:val="32"/>
        </w:rPr>
        <w:lastRenderedPageBreak/>
        <w:t>Ap</w:t>
      </w:r>
      <w:r w:rsidR="005472C8" w:rsidRPr="00D53DE6">
        <w:rPr>
          <w:b/>
          <w:sz w:val="32"/>
          <w:szCs w:val="32"/>
        </w:rPr>
        <w:t xml:space="preserve">pendix </w:t>
      </w:r>
      <w:r w:rsidR="003B0BE7">
        <w:rPr>
          <w:b/>
          <w:sz w:val="32"/>
          <w:szCs w:val="32"/>
        </w:rPr>
        <w:t>3</w:t>
      </w:r>
    </w:p>
    <w:p w14:paraId="29B72F9C" w14:textId="73AA4424" w:rsidR="003B0BE7" w:rsidRDefault="003B0BE7" w:rsidP="00223FC8">
      <w:pPr>
        <w:rPr>
          <w:b/>
          <w:sz w:val="32"/>
          <w:szCs w:val="32"/>
        </w:rPr>
      </w:pPr>
    </w:p>
    <w:p w14:paraId="65DB22F3" w14:textId="36D51586" w:rsidR="00980AE0" w:rsidRPr="00980AE0" w:rsidRDefault="00980AE0" w:rsidP="00980AE0">
      <w:pPr>
        <w:jc w:val="left"/>
        <w:rPr>
          <w:b/>
          <w:sz w:val="24"/>
          <w:szCs w:val="24"/>
        </w:rPr>
      </w:pPr>
      <w:r>
        <w:rPr>
          <w:b/>
          <w:sz w:val="24"/>
          <w:szCs w:val="24"/>
        </w:rPr>
        <w:t>Housing Revenue Account</w:t>
      </w:r>
      <w:r w:rsidRPr="00656AD3">
        <w:rPr>
          <w:b/>
          <w:sz w:val="24"/>
          <w:szCs w:val="24"/>
        </w:rPr>
        <w:t xml:space="preserve"> Proposed Budgets</w:t>
      </w:r>
      <w:r>
        <w:rPr>
          <w:b/>
          <w:sz w:val="24"/>
          <w:szCs w:val="24"/>
        </w:rPr>
        <w:t xml:space="preserve">, </w:t>
      </w:r>
      <w:r w:rsidRPr="00243580">
        <w:rPr>
          <w:b/>
          <w:sz w:val="24"/>
          <w:szCs w:val="24"/>
        </w:rPr>
        <w:t>2021/22 to 2023/24</w:t>
      </w:r>
    </w:p>
    <w:p w14:paraId="30BEB190" w14:textId="378F430F" w:rsidR="00980AE0" w:rsidRDefault="00980AE0" w:rsidP="00223FC8">
      <w:pPr>
        <w:rPr>
          <w:b/>
          <w:sz w:val="32"/>
          <w:szCs w:val="32"/>
        </w:rPr>
      </w:pPr>
    </w:p>
    <w:tbl>
      <w:tblPr>
        <w:tblW w:w="7440" w:type="dxa"/>
        <w:tblLook w:val="04A0" w:firstRow="1" w:lastRow="0" w:firstColumn="1" w:lastColumn="0" w:noHBand="0" w:noVBand="1"/>
      </w:tblPr>
      <w:tblGrid>
        <w:gridCol w:w="2464"/>
        <w:gridCol w:w="1244"/>
        <w:gridCol w:w="1244"/>
        <w:gridCol w:w="1244"/>
        <w:gridCol w:w="1244"/>
      </w:tblGrid>
      <w:tr w:rsidR="00FA3B27" w:rsidRPr="00664795" w14:paraId="5A0747EB" w14:textId="77777777" w:rsidTr="00664795">
        <w:trPr>
          <w:trHeight w:val="300"/>
        </w:trPr>
        <w:tc>
          <w:tcPr>
            <w:tcW w:w="2840" w:type="dxa"/>
            <w:tcBorders>
              <w:top w:val="nil"/>
              <w:left w:val="nil"/>
              <w:bottom w:val="nil"/>
              <w:right w:val="nil"/>
            </w:tcBorders>
            <w:shd w:val="clear" w:color="auto" w:fill="auto"/>
            <w:hideMark/>
          </w:tcPr>
          <w:p w14:paraId="6CFBE8F1" w14:textId="77777777" w:rsidR="00FA3B27" w:rsidRPr="00FA3B27" w:rsidRDefault="00FA3B27" w:rsidP="00FA3B27">
            <w:pPr>
              <w:jc w:val="left"/>
              <w:rPr>
                <w:rFonts w:ascii="Times New Roman" w:hAnsi="Times New Roman"/>
                <w:sz w:val="20"/>
                <w:szCs w:val="20"/>
              </w:rPr>
            </w:pPr>
          </w:p>
        </w:tc>
        <w:tc>
          <w:tcPr>
            <w:tcW w:w="1120" w:type="dxa"/>
            <w:tcBorders>
              <w:top w:val="single" w:sz="4" w:space="0" w:color="auto"/>
              <w:left w:val="nil"/>
              <w:right w:val="nil"/>
            </w:tcBorders>
            <w:shd w:val="clear" w:color="auto" w:fill="auto"/>
            <w:hideMark/>
          </w:tcPr>
          <w:p w14:paraId="17244A42" w14:textId="77777777" w:rsidR="00FA3B27" w:rsidRPr="00FA3B27" w:rsidRDefault="00FA3B27" w:rsidP="00FA3B27">
            <w:pPr>
              <w:jc w:val="center"/>
              <w:rPr>
                <w:rFonts w:cs="Arial"/>
                <w:color w:val="000000"/>
                <w:sz w:val="24"/>
                <w:szCs w:val="24"/>
              </w:rPr>
            </w:pPr>
            <w:r w:rsidRPr="00FA3B27">
              <w:rPr>
                <w:rFonts w:cs="Arial"/>
                <w:color w:val="000000"/>
                <w:sz w:val="24"/>
                <w:szCs w:val="24"/>
              </w:rPr>
              <w:t>2020/21</w:t>
            </w:r>
          </w:p>
        </w:tc>
        <w:tc>
          <w:tcPr>
            <w:tcW w:w="1160" w:type="dxa"/>
            <w:tcBorders>
              <w:top w:val="single" w:sz="4" w:space="0" w:color="auto"/>
              <w:left w:val="nil"/>
              <w:right w:val="nil"/>
            </w:tcBorders>
            <w:shd w:val="clear" w:color="auto" w:fill="auto"/>
            <w:hideMark/>
          </w:tcPr>
          <w:p w14:paraId="66417E3F" w14:textId="77777777" w:rsidR="00FA3B27" w:rsidRPr="00FA3B27" w:rsidRDefault="00FA3B27" w:rsidP="00FA3B27">
            <w:pPr>
              <w:jc w:val="center"/>
              <w:rPr>
                <w:rFonts w:cs="Arial"/>
                <w:color w:val="000000"/>
                <w:sz w:val="24"/>
                <w:szCs w:val="24"/>
              </w:rPr>
            </w:pPr>
            <w:r w:rsidRPr="00FA3B27">
              <w:rPr>
                <w:rFonts w:cs="Arial"/>
                <w:color w:val="000000"/>
                <w:sz w:val="24"/>
                <w:szCs w:val="24"/>
              </w:rPr>
              <w:t>2021/22</w:t>
            </w:r>
          </w:p>
        </w:tc>
        <w:tc>
          <w:tcPr>
            <w:tcW w:w="1180" w:type="dxa"/>
            <w:tcBorders>
              <w:top w:val="single" w:sz="4" w:space="0" w:color="auto"/>
              <w:left w:val="nil"/>
              <w:right w:val="nil"/>
            </w:tcBorders>
            <w:shd w:val="clear" w:color="auto" w:fill="auto"/>
            <w:hideMark/>
          </w:tcPr>
          <w:p w14:paraId="79952088" w14:textId="77777777" w:rsidR="00FA3B27" w:rsidRPr="00FA3B27" w:rsidRDefault="00FA3B27" w:rsidP="00FA3B27">
            <w:pPr>
              <w:jc w:val="center"/>
              <w:rPr>
                <w:rFonts w:cs="Arial"/>
                <w:color w:val="000000"/>
                <w:sz w:val="24"/>
                <w:szCs w:val="24"/>
              </w:rPr>
            </w:pPr>
            <w:r w:rsidRPr="00FA3B27">
              <w:rPr>
                <w:rFonts w:cs="Arial"/>
                <w:color w:val="000000"/>
                <w:sz w:val="24"/>
                <w:szCs w:val="24"/>
              </w:rPr>
              <w:t>2022/23</w:t>
            </w:r>
          </w:p>
        </w:tc>
        <w:tc>
          <w:tcPr>
            <w:tcW w:w="1140" w:type="dxa"/>
            <w:tcBorders>
              <w:top w:val="single" w:sz="4" w:space="0" w:color="auto"/>
              <w:left w:val="nil"/>
              <w:right w:val="nil"/>
            </w:tcBorders>
            <w:shd w:val="clear" w:color="auto" w:fill="auto"/>
            <w:hideMark/>
          </w:tcPr>
          <w:p w14:paraId="690E05F4" w14:textId="77777777" w:rsidR="00FA3B27" w:rsidRPr="00FA3B27" w:rsidRDefault="00FA3B27" w:rsidP="00FA3B27">
            <w:pPr>
              <w:jc w:val="center"/>
              <w:rPr>
                <w:rFonts w:cs="Arial"/>
                <w:color w:val="000000"/>
                <w:sz w:val="24"/>
                <w:szCs w:val="24"/>
              </w:rPr>
            </w:pPr>
            <w:r w:rsidRPr="00FA3B27">
              <w:rPr>
                <w:rFonts w:cs="Arial"/>
                <w:color w:val="000000"/>
                <w:sz w:val="24"/>
                <w:szCs w:val="24"/>
              </w:rPr>
              <w:t>2023/24</w:t>
            </w:r>
          </w:p>
        </w:tc>
      </w:tr>
      <w:tr w:rsidR="00FA3B27" w:rsidRPr="00664795" w14:paraId="113760E6" w14:textId="77777777" w:rsidTr="00664795">
        <w:trPr>
          <w:trHeight w:val="900"/>
        </w:trPr>
        <w:tc>
          <w:tcPr>
            <w:tcW w:w="2840" w:type="dxa"/>
            <w:tcBorders>
              <w:top w:val="nil"/>
              <w:left w:val="nil"/>
              <w:bottom w:val="nil"/>
              <w:right w:val="nil"/>
            </w:tcBorders>
            <w:shd w:val="clear" w:color="auto" w:fill="auto"/>
            <w:hideMark/>
          </w:tcPr>
          <w:p w14:paraId="645ED9E3" w14:textId="77777777" w:rsidR="00FA3B27" w:rsidRPr="00FA3B27" w:rsidRDefault="00FA3B27" w:rsidP="00FA3B27">
            <w:pPr>
              <w:jc w:val="center"/>
              <w:rPr>
                <w:rFonts w:cs="Arial"/>
                <w:color w:val="000000"/>
                <w:sz w:val="24"/>
                <w:szCs w:val="24"/>
              </w:rPr>
            </w:pPr>
          </w:p>
        </w:tc>
        <w:tc>
          <w:tcPr>
            <w:tcW w:w="1120" w:type="dxa"/>
            <w:tcBorders>
              <w:left w:val="nil"/>
              <w:bottom w:val="nil"/>
              <w:right w:val="nil"/>
            </w:tcBorders>
            <w:shd w:val="clear" w:color="auto" w:fill="auto"/>
            <w:hideMark/>
          </w:tcPr>
          <w:p w14:paraId="25D9B94D" w14:textId="77777777" w:rsidR="00FA3B27" w:rsidRPr="00FA3B27" w:rsidRDefault="00FA3B27" w:rsidP="00FA3B27">
            <w:pPr>
              <w:jc w:val="center"/>
              <w:rPr>
                <w:rFonts w:cs="Arial"/>
                <w:color w:val="000000"/>
                <w:sz w:val="24"/>
                <w:szCs w:val="24"/>
              </w:rPr>
            </w:pPr>
            <w:r w:rsidRPr="00FA3B27">
              <w:rPr>
                <w:rFonts w:cs="Arial"/>
                <w:color w:val="000000"/>
                <w:sz w:val="24"/>
                <w:szCs w:val="24"/>
              </w:rPr>
              <w:t>Latest Approved Budget</w:t>
            </w:r>
          </w:p>
        </w:tc>
        <w:tc>
          <w:tcPr>
            <w:tcW w:w="1160" w:type="dxa"/>
            <w:tcBorders>
              <w:left w:val="nil"/>
              <w:bottom w:val="nil"/>
              <w:right w:val="nil"/>
            </w:tcBorders>
            <w:shd w:val="clear" w:color="auto" w:fill="auto"/>
            <w:hideMark/>
          </w:tcPr>
          <w:p w14:paraId="2CA67EAA" w14:textId="77777777" w:rsidR="00FA3B27" w:rsidRPr="00FA3B27" w:rsidRDefault="00FA3B27" w:rsidP="00FA3B27">
            <w:pPr>
              <w:jc w:val="center"/>
              <w:rPr>
                <w:rFonts w:cs="Arial"/>
                <w:color w:val="000000"/>
                <w:sz w:val="24"/>
                <w:szCs w:val="24"/>
              </w:rPr>
            </w:pPr>
            <w:r w:rsidRPr="00FA3B27">
              <w:rPr>
                <w:rFonts w:cs="Arial"/>
                <w:color w:val="000000"/>
                <w:sz w:val="24"/>
                <w:szCs w:val="24"/>
              </w:rPr>
              <w:t>Proposed Budget</w:t>
            </w:r>
          </w:p>
        </w:tc>
        <w:tc>
          <w:tcPr>
            <w:tcW w:w="1180" w:type="dxa"/>
            <w:tcBorders>
              <w:left w:val="nil"/>
              <w:bottom w:val="nil"/>
              <w:right w:val="nil"/>
            </w:tcBorders>
            <w:shd w:val="clear" w:color="auto" w:fill="auto"/>
            <w:hideMark/>
          </w:tcPr>
          <w:p w14:paraId="0A56025F" w14:textId="77777777" w:rsidR="00FA3B27" w:rsidRPr="00FA3B27" w:rsidRDefault="00FA3B27" w:rsidP="00FA3B27">
            <w:pPr>
              <w:jc w:val="center"/>
              <w:rPr>
                <w:rFonts w:cs="Arial"/>
                <w:color w:val="000000"/>
                <w:sz w:val="24"/>
                <w:szCs w:val="24"/>
              </w:rPr>
            </w:pPr>
            <w:r w:rsidRPr="00FA3B27">
              <w:rPr>
                <w:rFonts w:cs="Arial"/>
                <w:color w:val="000000"/>
                <w:sz w:val="24"/>
                <w:szCs w:val="24"/>
              </w:rPr>
              <w:t>Proposed Budget</w:t>
            </w:r>
          </w:p>
        </w:tc>
        <w:tc>
          <w:tcPr>
            <w:tcW w:w="1140" w:type="dxa"/>
            <w:tcBorders>
              <w:left w:val="nil"/>
              <w:bottom w:val="nil"/>
              <w:right w:val="nil"/>
            </w:tcBorders>
            <w:shd w:val="clear" w:color="auto" w:fill="auto"/>
            <w:hideMark/>
          </w:tcPr>
          <w:p w14:paraId="20A5BC59" w14:textId="77777777" w:rsidR="00FA3B27" w:rsidRPr="00FA3B27" w:rsidRDefault="00FA3B27" w:rsidP="00FA3B27">
            <w:pPr>
              <w:jc w:val="center"/>
              <w:rPr>
                <w:rFonts w:cs="Arial"/>
                <w:color w:val="000000"/>
                <w:sz w:val="24"/>
                <w:szCs w:val="24"/>
              </w:rPr>
            </w:pPr>
            <w:r w:rsidRPr="00FA3B27">
              <w:rPr>
                <w:rFonts w:cs="Arial"/>
                <w:color w:val="000000"/>
                <w:sz w:val="24"/>
                <w:szCs w:val="24"/>
              </w:rPr>
              <w:t>Proposed Budget</w:t>
            </w:r>
          </w:p>
        </w:tc>
      </w:tr>
      <w:tr w:rsidR="00FA3B27" w:rsidRPr="00664795" w14:paraId="007CB053" w14:textId="77777777" w:rsidTr="00FA3B27">
        <w:trPr>
          <w:trHeight w:val="300"/>
        </w:trPr>
        <w:tc>
          <w:tcPr>
            <w:tcW w:w="2840" w:type="dxa"/>
            <w:tcBorders>
              <w:top w:val="nil"/>
              <w:left w:val="nil"/>
              <w:bottom w:val="single" w:sz="4" w:space="0" w:color="auto"/>
              <w:right w:val="nil"/>
            </w:tcBorders>
            <w:shd w:val="clear" w:color="auto" w:fill="auto"/>
            <w:hideMark/>
          </w:tcPr>
          <w:p w14:paraId="148D24BC" w14:textId="77777777" w:rsidR="00FA3B27" w:rsidRPr="00FA3B27" w:rsidRDefault="00FA3B27" w:rsidP="00FA3B27">
            <w:pPr>
              <w:jc w:val="left"/>
              <w:rPr>
                <w:rFonts w:cs="Arial"/>
                <w:color w:val="000000"/>
                <w:sz w:val="24"/>
                <w:szCs w:val="24"/>
              </w:rPr>
            </w:pPr>
            <w:r w:rsidRPr="00FA3B27">
              <w:rPr>
                <w:rFonts w:cs="Arial"/>
                <w:color w:val="000000"/>
                <w:sz w:val="24"/>
                <w:szCs w:val="24"/>
              </w:rPr>
              <w:t> </w:t>
            </w:r>
          </w:p>
        </w:tc>
        <w:tc>
          <w:tcPr>
            <w:tcW w:w="1120" w:type="dxa"/>
            <w:tcBorders>
              <w:top w:val="nil"/>
              <w:left w:val="nil"/>
              <w:bottom w:val="single" w:sz="4" w:space="0" w:color="auto"/>
              <w:right w:val="nil"/>
            </w:tcBorders>
            <w:shd w:val="clear" w:color="auto" w:fill="auto"/>
            <w:hideMark/>
          </w:tcPr>
          <w:p w14:paraId="05C6F739" w14:textId="77777777" w:rsidR="00FA3B27" w:rsidRPr="00FA3B27" w:rsidRDefault="00FA3B27" w:rsidP="00FA3B27">
            <w:pPr>
              <w:jc w:val="center"/>
              <w:rPr>
                <w:rFonts w:cs="Arial"/>
                <w:color w:val="000000"/>
                <w:sz w:val="24"/>
                <w:szCs w:val="24"/>
              </w:rPr>
            </w:pPr>
            <w:r w:rsidRPr="00FA3B27">
              <w:rPr>
                <w:rFonts w:cs="Arial"/>
                <w:color w:val="000000"/>
                <w:sz w:val="24"/>
                <w:szCs w:val="24"/>
              </w:rPr>
              <w:t>£000</w:t>
            </w:r>
          </w:p>
        </w:tc>
        <w:tc>
          <w:tcPr>
            <w:tcW w:w="1160" w:type="dxa"/>
            <w:tcBorders>
              <w:top w:val="nil"/>
              <w:left w:val="nil"/>
              <w:bottom w:val="single" w:sz="4" w:space="0" w:color="auto"/>
              <w:right w:val="nil"/>
            </w:tcBorders>
            <w:shd w:val="clear" w:color="auto" w:fill="auto"/>
            <w:hideMark/>
          </w:tcPr>
          <w:p w14:paraId="3D06FEA7" w14:textId="77777777" w:rsidR="00FA3B27" w:rsidRPr="00FA3B27" w:rsidRDefault="00FA3B27" w:rsidP="00FA3B27">
            <w:pPr>
              <w:jc w:val="center"/>
              <w:rPr>
                <w:rFonts w:cs="Arial"/>
                <w:color w:val="000000"/>
                <w:sz w:val="24"/>
                <w:szCs w:val="24"/>
              </w:rPr>
            </w:pPr>
            <w:r w:rsidRPr="00FA3B27">
              <w:rPr>
                <w:rFonts w:cs="Arial"/>
                <w:color w:val="000000"/>
                <w:sz w:val="24"/>
                <w:szCs w:val="24"/>
              </w:rPr>
              <w:t>£000</w:t>
            </w:r>
          </w:p>
        </w:tc>
        <w:tc>
          <w:tcPr>
            <w:tcW w:w="1180" w:type="dxa"/>
            <w:tcBorders>
              <w:top w:val="nil"/>
              <w:left w:val="nil"/>
              <w:bottom w:val="single" w:sz="4" w:space="0" w:color="auto"/>
              <w:right w:val="nil"/>
            </w:tcBorders>
            <w:shd w:val="clear" w:color="auto" w:fill="auto"/>
            <w:hideMark/>
          </w:tcPr>
          <w:p w14:paraId="5064284E" w14:textId="77777777" w:rsidR="00FA3B27" w:rsidRPr="00FA3B27" w:rsidRDefault="00FA3B27" w:rsidP="00FA3B27">
            <w:pPr>
              <w:jc w:val="center"/>
              <w:rPr>
                <w:rFonts w:cs="Arial"/>
                <w:color w:val="000000"/>
                <w:sz w:val="24"/>
                <w:szCs w:val="24"/>
              </w:rPr>
            </w:pPr>
            <w:r w:rsidRPr="00FA3B27">
              <w:rPr>
                <w:rFonts w:cs="Arial"/>
                <w:color w:val="000000"/>
                <w:sz w:val="24"/>
                <w:szCs w:val="24"/>
              </w:rPr>
              <w:t>£000</w:t>
            </w:r>
          </w:p>
        </w:tc>
        <w:tc>
          <w:tcPr>
            <w:tcW w:w="1140" w:type="dxa"/>
            <w:tcBorders>
              <w:top w:val="nil"/>
              <w:left w:val="nil"/>
              <w:bottom w:val="single" w:sz="4" w:space="0" w:color="auto"/>
              <w:right w:val="nil"/>
            </w:tcBorders>
            <w:shd w:val="clear" w:color="auto" w:fill="auto"/>
            <w:hideMark/>
          </w:tcPr>
          <w:p w14:paraId="2D6B17CC" w14:textId="77777777" w:rsidR="00FA3B27" w:rsidRPr="00FA3B27" w:rsidRDefault="00FA3B27" w:rsidP="00FA3B27">
            <w:pPr>
              <w:jc w:val="center"/>
              <w:rPr>
                <w:rFonts w:cs="Arial"/>
                <w:color w:val="000000"/>
                <w:sz w:val="24"/>
                <w:szCs w:val="24"/>
              </w:rPr>
            </w:pPr>
            <w:r w:rsidRPr="00FA3B27">
              <w:rPr>
                <w:rFonts w:cs="Arial"/>
                <w:color w:val="000000"/>
                <w:sz w:val="24"/>
                <w:szCs w:val="24"/>
              </w:rPr>
              <w:t>£000</w:t>
            </w:r>
          </w:p>
        </w:tc>
      </w:tr>
      <w:tr w:rsidR="00FA3B27" w:rsidRPr="00FA3B27" w14:paraId="4E4E903E" w14:textId="77777777" w:rsidTr="00FA3B27">
        <w:trPr>
          <w:trHeight w:val="300"/>
        </w:trPr>
        <w:tc>
          <w:tcPr>
            <w:tcW w:w="2840" w:type="dxa"/>
            <w:tcBorders>
              <w:top w:val="nil"/>
              <w:left w:val="nil"/>
              <w:bottom w:val="nil"/>
              <w:right w:val="nil"/>
            </w:tcBorders>
            <w:shd w:val="clear" w:color="auto" w:fill="auto"/>
            <w:hideMark/>
          </w:tcPr>
          <w:p w14:paraId="4A851101" w14:textId="77777777" w:rsidR="00FA3B27" w:rsidRPr="00FA3B27" w:rsidRDefault="00FA3B27" w:rsidP="00FA3B27">
            <w:pPr>
              <w:jc w:val="left"/>
              <w:rPr>
                <w:rFonts w:cs="Arial"/>
                <w:color w:val="000000"/>
                <w:sz w:val="24"/>
                <w:szCs w:val="24"/>
              </w:rPr>
            </w:pPr>
            <w:r w:rsidRPr="00FA3B27">
              <w:rPr>
                <w:rFonts w:cs="Arial"/>
                <w:color w:val="000000"/>
                <w:sz w:val="24"/>
                <w:szCs w:val="24"/>
              </w:rPr>
              <w:t>Tenancy Services</w:t>
            </w:r>
          </w:p>
        </w:tc>
        <w:tc>
          <w:tcPr>
            <w:tcW w:w="1120" w:type="dxa"/>
            <w:tcBorders>
              <w:top w:val="nil"/>
              <w:left w:val="nil"/>
              <w:bottom w:val="nil"/>
              <w:right w:val="nil"/>
            </w:tcBorders>
            <w:shd w:val="clear" w:color="auto" w:fill="auto"/>
            <w:hideMark/>
          </w:tcPr>
          <w:p w14:paraId="6DEA3DAF"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1,061 </w:t>
            </w:r>
          </w:p>
        </w:tc>
        <w:tc>
          <w:tcPr>
            <w:tcW w:w="1160" w:type="dxa"/>
            <w:tcBorders>
              <w:top w:val="nil"/>
              <w:left w:val="nil"/>
              <w:bottom w:val="nil"/>
              <w:right w:val="nil"/>
            </w:tcBorders>
            <w:shd w:val="clear" w:color="auto" w:fill="auto"/>
            <w:hideMark/>
          </w:tcPr>
          <w:p w14:paraId="4E4D6493"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1,094 </w:t>
            </w:r>
          </w:p>
        </w:tc>
        <w:tc>
          <w:tcPr>
            <w:tcW w:w="1180" w:type="dxa"/>
            <w:tcBorders>
              <w:top w:val="nil"/>
              <w:left w:val="nil"/>
              <w:bottom w:val="nil"/>
              <w:right w:val="nil"/>
            </w:tcBorders>
            <w:shd w:val="clear" w:color="auto" w:fill="auto"/>
            <w:hideMark/>
          </w:tcPr>
          <w:p w14:paraId="0A183AF1"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1,115 </w:t>
            </w:r>
          </w:p>
        </w:tc>
        <w:tc>
          <w:tcPr>
            <w:tcW w:w="1140" w:type="dxa"/>
            <w:tcBorders>
              <w:top w:val="nil"/>
              <w:left w:val="nil"/>
              <w:bottom w:val="nil"/>
              <w:right w:val="nil"/>
            </w:tcBorders>
            <w:shd w:val="clear" w:color="auto" w:fill="auto"/>
            <w:hideMark/>
          </w:tcPr>
          <w:p w14:paraId="5E99D35D"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1,134 </w:t>
            </w:r>
          </w:p>
        </w:tc>
      </w:tr>
      <w:tr w:rsidR="00FA3B27" w:rsidRPr="00FA3B27" w14:paraId="7452C90C" w14:textId="77777777" w:rsidTr="00FA3B27">
        <w:trPr>
          <w:trHeight w:val="300"/>
        </w:trPr>
        <w:tc>
          <w:tcPr>
            <w:tcW w:w="2840" w:type="dxa"/>
            <w:tcBorders>
              <w:top w:val="nil"/>
              <w:left w:val="nil"/>
              <w:bottom w:val="nil"/>
              <w:right w:val="nil"/>
            </w:tcBorders>
            <w:shd w:val="clear" w:color="auto" w:fill="auto"/>
            <w:hideMark/>
          </w:tcPr>
          <w:p w14:paraId="37008539" w14:textId="77777777" w:rsidR="00FA3B27" w:rsidRPr="00FA3B27" w:rsidRDefault="00FA3B27" w:rsidP="00FA3B27">
            <w:pPr>
              <w:jc w:val="left"/>
              <w:rPr>
                <w:rFonts w:cs="Arial"/>
                <w:color w:val="000000"/>
                <w:sz w:val="24"/>
                <w:szCs w:val="24"/>
              </w:rPr>
            </w:pPr>
            <w:r w:rsidRPr="00FA3B27">
              <w:rPr>
                <w:rFonts w:cs="Arial"/>
                <w:color w:val="000000"/>
                <w:sz w:val="24"/>
                <w:szCs w:val="24"/>
              </w:rPr>
              <w:t>Community Centres</w:t>
            </w:r>
          </w:p>
        </w:tc>
        <w:tc>
          <w:tcPr>
            <w:tcW w:w="1120" w:type="dxa"/>
            <w:tcBorders>
              <w:top w:val="nil"/>
              <w:left w:val="nil"/>
              <w:bottom w:val="nil"/>
              <w:right w:val="nil"/>
            </w:tcBorders>
            <w:shd w:val="clear" w:color="auto" w:fill="auto"/>
            <w:hideMark/>
          </w:tcPr>
          <w:p w14:paraId="2A03A85C"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384 </w:t>
            </w:r>
          </w:p>
        </w:tc>
        <w:tc>
          <w:tcPr>
            <w:tcW w:w="1160" w:type="dxa"/>
            <w:tcBorders>
              <w:top w:val="nil"/>
              <w:left w:val="nil"/>
              <w:bottom w:val="nil"/>
              <w:right w:val="nil"/>
            </w:tcBorders>
            <w:shd w:val="clear" w:color="auto" w:fill="auto"/>
            <w:hideMark/>
          </w:tcPr>
          <w:p w14:paraId="695EA44A"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396 </w:t>
            </w:r>
          </w:p>
        </w:tc>
        <w:tc>
          <w:tcPr>
            <w:tcW w:w="1180" w:type="dxa"/>
            <w:tcBorders>
              <w:top w:val="nil"/>
              <w:left w:val="nil"/>
              <w:bottom w:val="nil"/>
              <w:right w:val="nil"/>
            </w:tcBorders>
            <w:shd w:val="clear" w:color="auto" w:fill="auto"/>
            <w:hideMark/>
          </w:tcPr>
          <w:p w14:paraId="6ED1A709"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406 </w:t>
            </w:r>
          </w:p>
        </w:tc>
        <w:tc>
          <w:tcPr>
            <w:tcW w:w="1140" w:type="dxa"/>
            <w:tcBorders>
              <w:top w:val="nil"/>
              <w:left w:val="nil"/>
              <w:bottom w:val="nil"/>
              <w:right w:val="nil"/>
            </w:tcBorders>
            <w:shd w:val="clear" w:color="auto" w:fill="auto"/>
            <w:hideMark/>
          </w:tcPr>
          <w:p w14:paraId="7C0203A5"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414 </w:t>
            </w:r>
          </w:p>
        </w:tc>
      </w:tr>
      <w:tr w:rsidR="00FA3B27" w:rsidRPr="00FA3B27" w14:paraId="58596E53" w14:textId="77777777" w:rsidTr="00FA3B27">
        <w:trPr>
          <w:trHeight w:val="300"/>
        </w:trPr>
        <w:tc>
          <w:tcPr>
            <w:tcW w:w="2840" w:type="dxa"/>
            <w:tcBorders>
              <w:top w:val="nil"/>
              <w:left w:val="nil"/>
              <w:bottom w:val="nil"/>
              <w:right w:val="nil"/>
            </w:tcBorders>
            <w:shd w:val="clear" w:color="auto" w:fill="auto"/>
            <w:hideMark/>
          </w:tcPr>
          <w:p w14:paraId="26F7D828" w14:textId="77777777" w:rsidR="00FA3B27" w:rsidRPr="00FA3B27" w:rsidRDefault="00FA3B27" w:rsidP="00FA3B27">
            <w:pPr>
              <w:jc w:val="left"/>
              <w:rPr>
                <w:rFonts w:cs="Arial"/>
                <w:color w:val="000000"/>
                <w:sz w:val="24"/>
                <w:szCs w:val="24"/>
              </w:rPr>
            </w:pPr>
            <w:r w:rsidRPr="00FA3B27">
              <w:rPr>
                <w:rFonts w:cs="Arial"/>
                <w:color w:val="000000"/>
                <w:sz w:val="24"/>
                <w:szCs w:val="24"/>
              </w:rPr>
              <w:t>Housing Repairs</w:t>
            </w:r>
          </w:p>
        </w:tc>
        <w:tc>
          <w:tcPr>
            <w:tcW w:w="1120" w:type="dxa"/>
            <w:tcBorders>
              <w:top w:val="nil"/>
              <w:left w:val="nil"/>
              <w:bottom w:val="nil"/>
              <w:right w:val="nil"/>
            </w:tcBorders>
            <w:shd w:val="clear" w:color="auto" w:fill="auto"/>
            <w:hideMark/>
          </w:tcPr>
          <w:p w14:paraId="0D2C47AF"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7,058 </w:t>
            </w:r>
          </w:p>
        </w:tc>
        <w:tc>
          <w:tcPr>
            <w:tcW w:w="1160" w:type="dxa"/>
            <w:tcBorders>
              <w:top w:val="nil"/>
              <w:left w:val="nil"/>
              <w:bottom w:val="nil"/>
              <w:right w:val="nil"/>
            </w:tcBorders>
            <w:shd w:val="clear" w:color="auto" w:fill="auto"/>
            <w:hideMark/>
          </w:tcPr>
          <w:p w14:paraId="76C6AD2F"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7,353 </w:t>
            </w:r>
          </w:p>
        </w:tc>
        <w:tc>
          <w:tcPr>
            <w:tcW w:w="1180" w:type="dxa"/>
            <w:tcBorders>
              <w:top w:val="nil"/>
              <w:left w:val="nil"/>
              <w:bottom w:val="nil"/>
              <w:right w:val="nil"/>
            </w:tcBorders>
            <w:shd w:val="clear" w:color="auto" w:fill="auto"/>
            <w:hideMark/>
          </w:tcPr>
          <w:p w14:paraId="3EEECF26"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7,476 </w:t>
            </w:r>
          </w:p>
        </w:tc>
        <w:tc>
          <w:tcPr>
            <w:tcW w:w="1140" w:type="dxa"/>
            <w:tcBorders>
              <w:top w:val="nil"/>
              <w:left w:val="nil"/>
              <w:bottom w:val="nil"/>
              <w:right w:val="nil"/>
            </w:tcBorders>
            <w:shd w:val="clear" w:color="auto" w:fill="auto"/>
            <w:hideMark/>
          </w:tcPr>
          <w:p w14:paraId="6A8DAE02"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7,599 </w:t>
            </w:r>
          </w:p>
        </w:tc>
      </w:tr>
      <w:tr w:rsidR="00FA3B27" w:rsidRPr="00FA3B27" w14:paraId="03E6676C" w14:textId="77777777" w:rsidTr="00FA3B27">
        <w:trPr>
          <w:trHeight w:val="300"/>
        </w:trPr>
        <w:tc>
          <w:tcPr>
            <w:tcW w:w="2840" w:type="dxa"/>
            <w:tcBorders>
              <w:top w:val="nil"/>
              <w:left w:val="nil"/>
              <w:bottom w:val="nil"/>
              <w:right w:val="nil"/>
            </w:tcBorders>
            <w:shd w:val="clear" w:color="auto" w:fill="auto"/>
            <w:hideMark/>
          </w:tcPr>
          <w:p w14:paraId="79EA39B2" w14:textId="77777777" w:rsidR="00FA3B27" w:rsidRPr="00FA3B27" w:rsidRDefault="00FA3B27" w:rsidP="00FA3B27">
            <w:pPr>
              <w:jc w:val="left"/>
              <w:rPr>
                <w:rFonts w:cs="Arial"/>
                <w:color w:val="000000"/>
                <w:sz w:val="24"/>
                <w:szCs w:val="24"/>
              </w:rPr>
            </w:pPr>
            <w:r w:rsidRPr="00FA3B27">
              <w:rPr>
                <w:rFonts w:cs="Arial"/>
                <w:color w:val="000000"/>
                <w:sz w:val="24"/>
                <w:szCs w:val="24"/>
              </w:rPr>
              <w:t>ASB</w:t>
            </w:r>
          </w:p>
        </w:tc>
        <w:tc>
          <w:tcPr>
            <w:tcW w:w="1120" w:type="dxa"/>
            <w:tcBorders>
              <w:top w:val="nil"/>
              <w:left w:val="nil"/>
              <w:bottom w:val="nil"/>
              <w:right w:val="nil"/>
            </w:tcBorders>
            <w:shd w:val="clear" w:color="auto" w:fill="auto"/>
            <w:hideMark/>
          </w:tcPr>
          <w:p w14:paraId="29B44FCF"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96 </w:t>
            </w:r>
          </w:p>
        </w:tc>
        <w:tc>
          <w:tcPr>
            <w:tcW w:w="1160" w:type="dxa"/>
            <w:tcBorders>
              <w:top w:val="nil"/>
              <w:left w:val="nil"/>
              <w:bottom w:val="nil"/>
              <w:right w:val="nil"/>
            </w:tcBorders>
            <w:shd w:val="clear" w:color="auto" w:fill="auto"/>
            <w:hideMark/>
          </w:tcPr>
          <w:p w14:paraId="056692A4"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96 </w:t>
            </w:r>
          </w:p>
        </w:tc>
        <w:tc>
          <w:tcPr>
            <w:tcW w:w="1180" w:type="dxa"/>
            <w:tcBorders>
              <w:top w:val="nil"/>
              <w:left w:val="nil"/>
              <w:bottom w:val="nil"/>
              <w:right w:val="nil"/>
            </w:tcBorders>
            <w:shd w:val="clear" w:color="auto" w:fill="auto"/>
            <w:hideMark/>
          </w:tcPr>
          <w:p w14:paraId="4B145A45"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98 </w:t>
            </w:r>
          </w:p>
        </w:tc>
        <w:tc>
          <w:tcPr>
            <w:tcW w:w="1140" w:type="dxa"/>
            <w:tcBorders>
              <w:top w:val="nil"/>
              <w:left w:val="nil"/>
              <w:bottom w:val="nil"/>
              <w:right w:val="nil"/>
            </w:tcBorders>
            <w:shd w:val="clear" w:color="auto" w:fill="auto"/>
            <w:hideMark/>
          </w:tcPr>
          <w:p w14:paraId="66D7E7D9"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100 </w:t>
            </w:r>
          </w:p>
        </w:tc>
      </w:tr>
      <w:tr w:rsidR="00FA3B27" w:rsidRPr="00FA3B27" w14:paraId="5EB5F75C" w14:textId="77777777" w:rsidTr="00FA3B27">
        <w:trPr>
          <w:trHeight w:val="300"/>
        </w:trPr>
        <w:tc>
          <w:tcPr>
            <w:tcW w:w="2840" w:type="dxa"/>
            <w:tcBorders>
              <w:top w:val="nil"/>
              <w:left w:val="nil"/>
              <w:bottom w:val="nil"/>
              <w:right w:val="nil"/>
            </w:tcBorders>
            <w:shd w:val="clear" w:color="auto" w:fill="auto"/>
            <w:hideMark/>
          </w:tcPr>
          <w:p w14:paraId="391A49D1" w14:textId="77777777" w:rsidR="00FA3B27" w:rsidRPr="00FA3B27" w:rsidRDefault="00FA3B27" w:rsidP="00FA3B27">
            <w:pPr>
              <w:jc w:val="left"/>
              <w:rPr>
                <w:rFonts w:cs="Arial"/>
                <w:color w:val="000000"/>
                <w:sz w:val="24"/>
                <w:szCs w:val="24"/>
              </w:rPr>
            </w:pPr>
            <w:r w:rsidRPr="00FA3B27">
              <w:rPr>
                <w:rFonts w:cs="Arial"/>
                <w:color w:val="000000"/>
                <w:sz w:val="24"/>
                <w:szCs w:val="24"/>
              </w:rPr>
              <w:t>District Heating</w:t>
            </w:r>
          </w:p>
        </w:tc>
        <w:tc>
          <w:tcPr>
            <w:tcW w:w="1120" w:type="dxa"/>
            <w:tcBorders>
              <w:top w:val="nil"/>
              <w:left w:val="nil"/>
              <w:bottom w:val="nil"/>
              <w:right w:val="nil"/>
            </w:tcBorders>
            <w:shd w:val="clear" w:color="auto" w:fill="auto"/>
            <w:hideMark/>
          </w:tcPr>
          <w:p w14:paraId="408E9784"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569 </w:t>
            </w:r>
          </w:p>
        </w:tc>
        <w:tc>
          <w:tcPr>
            <w:tcW w:w="1160" w:type="dxa"/>
            <w:tcBorders>
              <w:top w:val="nil"/>
              <w:left w:val="nil"/>
              <w:bottom w:val="nil"/>
              <w:right w:val="nil"/>
            </w:tcBorders>
            <w:shd w:val="clear" w:color="auto" w:fill="auto"/>
            <w:hideMark/>
          </w:tcPr>
          <w:p w14:paraId="39576C75"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510 </w:t>
            </w:r>
          </w:p>
        </w:tc>
        <w:tc>
          <w:tcPr>
            <w:tcW w:w="1180" w:type="dxa"/>
            <w:tcBorders>
              <w:top w:val="nil"/>
              <w:left w:val="nil"/>
              <w:bottom w:val="nil"/>
              <w:right w:val="nil"/>
            </w:tcBorders>
            <w:shd w:val="clear" w:color="auto" w:fill="auto"/>
            <w:hideMark/>
          </w:tcPr>
          <w:p w14:paraId="69E8A59C"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521 </w:t>
            </w:r>
          </w:p>
        </w:tc>
        <w:tc>
          <w:tcPr>
            <w:tcW w:w="1140" w:type="dxa"/>
            <w:tcBorders>
              <w:top w:val="nil"/>
              <w:left w:val="nil"/>
              <w:bottom w:val="nil"/>
              <w:right w:val="nil"/>
            </w:tcBorders>
            <w:shd w:val="clear" w:color="auto" w:fill="auto"/>
            <w:hideMark/>
          </w:tcPr>
          <w:p w14:paraId="1D263B19"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529 </w:t>
            </w:r>
          </w:p>
        </w:tc>
      </w:tr>
      <w:tr w:rsidR="00FA3B27" w:rsidRPr="00FA3B27" w14:paraId="3EBBAC28" w14:textId="77777777" w:rsidTr="00FA3B27">
        <w:trPr>
          <w:trHeight w:val="600"/>
        </w:trPr>
        <w:tc>
          <w:tcPr>
            <w:tcW w:w="2840" w:type="dxa"/>
            <w:tcBorders>
              <w:top w:val="nil"/>
              <w:left w:val="nil"/>
              <w:bottom w:val="nil"/>
              <w:right w:val="nil"/>
            </w:tcBorders>
            <w:shd w:val="clear" w:color="auto" w:fill="auto"/>
            <w:hideMark/>
          </w:tcPr>
          <w:p w14:paraId="05DF76FE" w14:textId="77777777" w:rsidR="00FA3B27" w:rsidRPr="00FA3B27" w:rsidRDefault="00FA3B27" w:rsidP="00FA3B27">
            <w:pPr>
              <w:jc w:val="left"/>
              <w:rPr>
                <w:rFonts w:cs="Arial"/>
                <w:color w:val="000000"/>
                <w:sz w:val="24"/>
                <w:szCs w:val="24"/>
              </w:rPr>
            </w:pPr>
            <w:r w:rsidRPr="00FA3B27">
              <w:rPr>
                <w:rFonts w:cs="Arial"/>
                <w:color w:val="000000"/>
                <w:sz w:val="24"/>
                <w:szCs w:val="24"/>
              </w:rPr>
              <w:t>Temporary Accommodation</w:t>
            </w:r>
          </w:p>
        </w:tc>
        <w:tc>
          <w:tcPr>
            <w:tcW w:w="1120" w:type="dxa"/>
            <w:tcBorders>
              <w:top w:val="nil"/>
              <w:left w:val="nil"/>
              <w:bottom w:val="nil"/>
              <w:right w:val="nil"/>
            </w:tcBorders>
            <w:shd w:val="clear" w:color="auto" w:fill="auto"/>
            <w:hideMark/>
          </w:tcPr>
          <w:p w14:paraId="68E49755"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515 </w:t>
            </w:r>
          </w:p>
        </w:tc>
        <w:tc>
          <w:tcPr>
            <w:tcW w:w="1160" w:type="dxa"/>
            <w:tcBorders>
              <w:top w:val="nil"/>
              <w:left w:val="nil"/>
              <w:bottom w:val="nil"/>
              <w:right w:val="nil"/>
            </w:tcBorders>
            <w:shd w:val="clear" w:color="auto" w:fill="auto"/>
            <w:hideMark/>
          </w:tcPr>
          <w:p w14:paraId="248E8666"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558 </w:t>
            </w:r>
          </w:p>
        </w:tc>
        <w:tc>
          <w:tcPr>
            <w:tcW w:w="1180" w:type="dxa"/>
            <w:tcBorders>
              <w:top w:val="nil"/>
              <w:left w:val="nil"/>
              <w:bottom w:val="nil"/>
              <w:right w:val="nil"/>
            </w:tcBorders>
            <w:shd w:val="clear" w:color="auto" w:fill="auto"/>
            <w:hideMark/>
          </w:tcPr>
          <w:p w14:paraId="0AC6CDD3"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564 </w:t>
            </w:r>
          </w:p>
        </w:tc>
        <w:tc>
          <w:tcPr>
            <w:tcW w:w="1140" w:type="dxa"/>
            <w:tcBorders>
              <w:top w:val="nil"/>
              <w:left w:val="nil"/>
              <w:bottom w:val="nil"/>
              <w:right w:val="nil"/>
            </w:tcBorders>
            <w:shd w:val="clear" w:color="auto" w:fill="auto"/>
            <w:hideMark/>
          </w:tcPr>
          <w:p w14:paraId="07D2D82B"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578 </w:t>
            </w:r>
          </w:p>
        </w:tc>
      </w:tr>
      <w:tr w:rsidR="00FA3B27" w:rsidRPr="00FA3B27" w14:paraId="69118EBB" w14:textId="77777777" w:rsidTr="00FA3B27">
        <w:trPr>
          <w:trHeight w:val="600"/>
        </w:trPr>
        <w:tc>
          <w:tcPr>
            <w:tcW w:w="2840" w:type="dxa"/>
            <w:tcBorders>
              <w:top w:val="nil"/>
              <w:left w:val="nil"/>
              <w:bottom w:val="nil"/>
              <w:right w:val="nil"/>
            </w:tcBorders>
            <w:shd w:val="clear" w:color="auto" w:fill="auto"/>
            <w:hideMark/>
          </w:tcPr>
          <w:p w14:paraId="40C85FC2" w14:textId="77777777" w:rsidR="00FA3B27" w:rsidRPr="00FA3B27" w:rsidRDefault="00FA3B27" w:rsidP="00FA3B27">
            <w:pPr>
              <w:jc w:val="left"/>
              <w:rPr>
                <w:rFonts w:cs="Arial"/>
                <w:color w:val="000000"/>
                <w:sz w:val="24"/>
                <w:szCs w:val="24"/>
              </w:rPr>
            </w:pPr>
            <w:r w:rsidRPr="00FA3B27">
              <w:rPr>
                <w:rFonts w:cs="Arial"/>
                <w:color w:val="000000"/>
                <w:sz w:val="24"/>
                <w:szCs w:val="24"/>
              </w:rPr>
              <w:t>Housing Allocation and Choice Based Lettings</w:t>
            </w:r>
          </w:p>
        </w:tc>
        <w:tc>
          <w:tcPr>
            <w:tcW w:w="1120" w:type="dxa"/>
            <w:tcBorders>
              <w:top w:val="nil"/>
              <w:left w:val="nil"/>
              <w:bottom w:val="nil"/>
              <w:right w:val="nil"/>
            </w:tcBorders>
            <w:shd w:val="clear" w:color="auto" w:fill="auto"/>
            <w:hideMark/>
          </w:tcPr>
          <w:p w14:paraId="620E7E86" w14:textId="51F3BCC5" w:rsidR="00FA3B27" w:rsidRPr="00FA3B27" w:rsidRDefault="009E65CF" w:rsidP="00FA3B27">
            <w:pPr>
              <w:jc w:val="center"/>
              <w:rPr>
                <w:rFonts w:cs="Arial"/>
                <w:color w:val="000000"/>
                <w:sz w:val="24"/>
                <w:szCs w:val="24"/>
              </w:rPr>
            </w:pPr>
            <w:r>
              <w:rPr>
                <w:rFonts w:cs="Arial"/>
                <w:color w:val="000000"/>
                <w:sz w:val="24"/>
                <w:szCs w:val="24"/>
              </w:rPr>
              <w:t>250</w:t>
            </w:r>
            <w:r w:rsidR="00FA3B27" w:rsidRPr="00FA3B27">
              <w:rPr>
                <w:rFonts w:cs="Arial"/>
                <w:color w:val="000000"/>
                <w:sz w:val="24"/>
                <w:szCs w:val="24"/>
              </w:rPr>
              <w:t xml:space="preserve"> </w:t>
            </w:r>
          </w:p>
        </w:tc>
        <w:tc>
          <w:tcPr>
            <w:tcW w:w="1160" w:type="dxa"/>
            <w:tcBorders>
              <w:top w:val="nil"/>
              <w:left w:val="nil"/>
              <w:bottom w:val="nil"/>
              <w:right w:val="nil"/>
            </w:tcBorders>
            <w:shd w:val="clear" w:color="auto" w:fill="auto"/>
            <w:hideMark/>
          </w:tcPr>
          <w:p w14:paraId="6118CDD8"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169 </w:t>
            </w:r>
          </w:p>
        </w:tc>
        <w:tc>
          <w:tcPr>
            <w:tcW w:w="1180" w:type="dxa"/>
            <w:tcBorders>
              <w:top w:val="nil"/>
              <w:left w:val="nil"/>
              <w:bottom w:val="nil"/>
              <w:right w:val="nil"/>
            </w:tcBorders>
            <w:shd w:val="clear" w:color="auto" w:fill="auto"/>
            <w:hideMark/>
          </w:tcPr>
          <w:p w14:paraId="0F9DB848"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173 </w:t>
            </w:r>
          </w:p>
        </w:tc>
        <w:tc>
          <w:tcPr>
            <w:tcW w:w="1140" w:type="dxa"/>
            <w:tcBorders>
              <w:top w:val="nil"/>
              <w:left w:val="nil"/>
              <w:bottom w:val="nil"/>
              <w:right w:val="nil"/>
            </w:tcBorders>
            <w:shd w:val="clear" w:color="auto" w:fill="auto"/>
            <w:hideMark/>
          </w:tcPr>
          <w:p w14:paraId="30B34958"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177 </w:t>
            </w:r>
          </w:p>
        </w:tc>
      </w:tr>
      <w:tr w:rsidR="00FA3B27" w:rsidRPr="00FA3B27" w14:paraId="4B4EE295" w14:textId="77777777" w:rsidTr="00FA3B27">
        <w:trPr>
          <w:trHeight w:val="300"/>
        </w:trPr>
        <w:tc>
          <w:tcPr>
            <w:tcW w:w="2840" w:type="dxa"/>
            <w:tcBorders>
              <w:top w:val="nil"/>
              <w:left w:val="nil"/>
              <w:bottom w:val="nil"/>
              <w:right w:val="nil"/>
            </w:tcBorders>
            <w:shd w:val="clear" w:color="auto" w:fill="auto"/>
            <w:hideMark/>
          </w:tcPr>
          <w:p w14:paraId="619D8D00" w14:textId="77777777" w:rsidR="00FA3B27" w:rsidRPr="00FA3B27" w:rsidRDefault="00FA3B27" w:rsidP="00FA3B27">
            <w:pPr>
              <w:jc w:val="left"/>
              <w:rPr>
                <w:rFonts w:cs="Arial"/>
                <w:color w:val="000000"/>
                <w:sz w:val="24"/>
                <w:szCs w:val="24"/>
              </w:rPr>
            </w:pPr>
            <w:r w:rsidRPr="00FA3B27">
              <w:rPr>
                <w:rFonts w:cs="Arial"/>
                <w:color w:val="000000"/>
                <w:sz w:val="24"/>
                <w:szCs w:val="24"/>
              </w:rPr>
              <w:t xml:space="preserve">Assist - </w:t>
            </w:r>
            <w:proofErr w:type="spellStart"/>
            <w:r w:rsidRPr="00FA3B27">
              <w:rPr>
                <w:rFonts w:cs="Arial"/>
                <w:color w:val="000000"/>
                <w:sz w:val="24"/>
                <w:szCs w:val="24"/>
              </w:rPr>
              <w:t>Poppyfields</w:t>
            </w:r>
            <w:proofErr w:type="spellEnd"/>
          </w:p>
        </w:tc>
        <w:tc>
          <w:tcPr>
            <w:tcW w:w="1120" w:type="dxa"/>
            <w:tcBorders>
              <w:top w:val="nil"/>
              <w:left w:val="nil"/>
              <w:bottom w:val="nil"/>
              <w:right w:val="nil"/>
            </w:tcBorders>
            <w:shd w:val="clear" w:color="auto" w:fill="auto"/>
            <w:hideMark/>
          </w:tcPr>
          <w:p w14:paraId="74371682"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779 </w:t>
            </w:r>
          </w:p>
        </w:tc>
        <w:tc>
          <w:tcPr>
            <w:tcW w:w="1160" w:type="dxa"/>
            <w:tcBorders>
              <w:top w:val="nil"/>
              <w:left w:val="nil"/>
              <w:bottom w:val="nil"/>
              <w:right w:val="nil"/>
            </w:tcBorders>
            <w:shd w:val="clear" w:color="auto" w:fill="auto"/>
            <w:hideMark/>
          </w:tcPr>
          <w:p w14:paraId="00676D72"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769 </w:t>
            </w:r>
          </w:p>
        </w:tc>
        <w:tc>
          <w:tcPr>
            <w:tcW w:w="1180" w:type="dxa"/>
            <w:tcBorders>
              <w:top w:val="nil"/>
              <w:left w:val="nil"/>
              <w:bottom w:val="nil"/>
              <w:right w:val="nil"/>
            </w:tcBorders>
            <w:shd w:val="clear" w:color="auto" w:fill="auto"/>
            <w:hideMark/>
          </w:tcPr>
          <w:p w14:paraId="1ADE5767"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785 </w:t>
            </w:r>
          </w:p>
        </w:tc>
        <w:tc>
          <w:tcPr>
            <w:tcW w:w="1140" w:type="dxa"/>
            <w:tcBorders>
              <w:top w:val="nil"/>
              <w:left w:val="nil"/>
              <w:bottom w:val="nil"/>
              <w:right w:val="nil"/>
            </w:tcBorders>
            <w:shd w:val="clear" w:color="auto" w:fill="auto"/>
            <w:hideMark/>
          </w:tcPr>
          <w:p w14:paraId="5ECBCB9B"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799 </w:t>
            </w:r>
          </w:p>
        </w:tc>
      </w:tr>
      <w:tr w:rsidR="00FA3B27" w:rsidRPr="00FA3B27" w14:paraId="178526C7" w14:textId="77777777" w:rsidTr="00FA3B27">
        <w:trPr>
          <w:trHeight w:val="300"/>
        </w:trPr>
        <w:tc>
          <w:tcPr>
            <w:tcW w:w="2840" w:type="dxa"/>
            <w:tcBorders>
              <w:top w:val="nil"/>
              <w:left w:val="nil"/>
              <w:bottom w:val="nil"/>
              <w:right w:val="nil"/>
            </w:tcBorders>
            <w:shd w:val="clear" w:color="auto" w:fill="auto"/>
            <w:hideMark/>
          </w:tcPr>
          <w:p w14:paraId="2C574FD6" w14:textId="77777777" w:rsidR="00FA3B27" w:rsidRPr="00FA3B27" w:rsidRDefault="00FA3B27" w:rsidP="00FA3B27">
            <w:pPr>
              <w:jc w:val="left"/>
              <w:rPr>
                <w:rFonts w:cs="Arial"/>
                <w:color w:val="000000"/>
                <w:sz w:val="24"/>
                <w:szCs w:val="24"/>
              </w:rPr>
            </w:pPr>
            <w:r w:rsidRPr="00FA3B27">
              <w:rPr>
                <w:rFonts w:cs="Arial"/>
                <w:color w:val="000000"/>
                <w:sz w:val="24"/>
                <w:szCs w:val="24"/>
              </w:rPr>
              <w:t>Grounds Maintenance</w:t>
            </w:r>
          </w:p>
        </w:tc>
        <w:tc>
          <w:tcPr>
            <w:tcW w:w="1120" w:type="dxa"/>
            <w:tcBorders>
              <w:top w:val="nil"/>
              <w:left w:val="nil"/>
              <w:bottom w:val="nil"/>
              <w:right w:val="nil"/>
            </w:tcBorders>
            <w:shd w:val="clear" w:color="auto" w:fill="auto"/>
            <w:hideMark/>
          </w:tcPr>
          <w:p w14:paraId="2C9E9930"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307 </w:t>
            </w:r>
          </w:p>
        </w:tc>
        <w:tc>
          <w:tcPr>
            <w:tcW w:w="1160" w:type="dxa"/>
            <w:tcBorders>
              <w:top w:val="nil"/>
              <w:left w:val="nil"/>
              <w:bottom w:val="nil"/>
              <w:right w:val="nil"/>
            </w:tcBorders>
            <w:shd w:val="clear" w:color="auto" w:fill="auto"/>
            <w:hideMark/>
          </w:tcPr>
          <w:p w14:paraId="5B67951C"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315 </w:t>
            </w:r>
          </w:p>
        </w:tc>
        <w:tc>
          <w:tcPr>
            <w:tcW w:w="1180" w:type="dxa"/>
            <w:tcBorders>
              <w:top w:val="nil"/>
              <w:left w:val="nil"/>
              <w:bottom w:val="nil"/>
              <w:right w:val="nil"/>
            </w:tcBorders>
            <w:shd w:val="clear" w:color="auto" w:fill="auto"/>
            <w:hideMark/>
          </w:tcPr>
          <w:p w14:paraId="2FD048BC"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315 </w:t>
            </w:r>
          </w:p>
        </w:tc>
        <w:tc>
          <w:tcPr>
            <w:tcW w:w="1140" w:type="dxa"/>
            <w:tcBorders>
              <w:top w:val="nil"/>
              <w:left w:val="nil"/>
              <w:bottom w:val="nil"/>
              <w:right w:val="nil"/>
            </w:tcBorders>
            <w:shd w:val="clear" w:color="auto" w:fill="auto"/>
            <w:hideMark/>
          </w:tcPr>
          <w:p w14:paraId="64832DE9"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315 </w:t>
            </w:r>
          </w:p>
        </w:tc>
      </w:tr>
      <w:tr w:rsidR="00FA3B27" w:rsidRPr="00FA3B27" w14:paraId="5F40C802" w14:textId="77777777" w:rsidTr="00FA3B27">
        <w:trPr>
          <w:trHeight w:val="300"/>
        </w:trPr>
        <w:tc>
          <w:tcPr>
            <w:tcW w:w="2840" w:type="dxa"/>
            <w:tcBorders>
              <w:top w:val="nil"/>
              <w:left w:val="nil"/>
              <w:bottom w:val="nil"/>
              <w:right w:val="nil"/>
            </w:tcBorders>
            <w:shd w:val="clear" w:color="auto" w:fill="auto"/>
            <w:hideMark/>
          </w:tcPr>
          <w:p w14:paraId="6A2D5FAE" w14:textId="77777777" w:rsidR="00FA3B27" w:rsidRPr="00FA3B27" w:rsidRDefault="00FA3B27" w:rsidP="00FA3B27">
            <w:pPr>
              <w:jc w:val="left"/>
              <w:rPr>
                <w:rFonts w:cs="Arial"/>
                <w:color w:val="000000"/>
                <w:sz w:val="24"/>
                <w:szCs w:val="24"/>
              </w:rPr>
            </w:pPr>
            <w:r w:rsidRPr="00FA3B27">
              <w:rPr>
                <w:rFonts w:cs="Arial"/>
                <w:color w:val="000000"/>
                <w:sz w:val="24"/>
                <w:szCs w:val="24"/>
              </w:rPr>
              <w:t>Debt Recovery</w:t>
            </w:r>
          </w:p>
        </w:tc>
        <w:tc>
          <w:tcPr>
            <w:tcW w:w="1120" w:type="dxa"/>
            <w:tcBorders>
              <w:top w:val="nil"/>
              <w:left w:val="nil"/>
              <w:bottom w:val="nil"/>
              <w:right w:val="nil"/>
            </w:tcBorders>
            <w:shd w:val="clear" w:color="auto" w:fill="auto"/>
            <w:hideMark/>
          </w:tcPr>
          <w:p w14:paraId="69BC89AC"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37 </w:t>
            </w:r>
          </w:p>
        </w:tc>
        <w:tc>
          <w:tcPr>
            <w:tcW w:w="1160" w:type="dxa"/>
            <w:tcBorders>
              <w:top w:val="nil"/>
              <w:left w:val="nil"/>
              <w:bottom w:val="nil"/>
              <w:right w:val="nil"/>
            </w:tcBorders>
            <w:shd w:val="clear" w:color="auto" w:fill="auto"/>
            <w:hideMark/>
          </w:tcPr>
          <w:p w14:paraId="00FA882B"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37 </w:t>
            </w:r>
          </w:p>
        </w:tc>
        <w:tc>
          <w:tcPr>
            <w:tcW w:w="1180" w:type="dxa"/>
            <w:tcBorders>
              <w:top w:val="nil"/>
              <w:left w:val="nil"/>
              <w:bottom w:val="nil"/>
              <w:right w:val="nil"/>
            </w:tcBorders>
            <w:shd w:val="clear" w:color="auto" w:fill="auto"/>
            <w:hideMark/>
          </w:tcPr>
          <w:p w14:paraId="264696B1"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38 </w:t>
            </w:r>
          </w:p>
        </w:tc>
        <w:tc>
          <w:tcPr>
            <w:tcW w:w="1140" w:type="dxa"/>
            <w:tcBorders>
              <w:top w:val="nil"/>
              <w:left w:val="nil"/>
              <w:bottom w:val="nil"/>
              <w:right w:val="nil"/>
            </w:tcBorders>
            <w:shd w:val="clear" w:color="auto" w:fill="auto"/>
            <w:hideMark/>
          </w:tcPr>
          <w:p w14:paraId="7D0FB933"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39 </w:t>
            </w:r>
          </w:p>
        </w:tc>
      </w:tr>
      <w:tr w:rsidR="00FA3B27" w:rsidRPr="00FA3B27" w14:paraId="042ADB15" w14:textId="77777777" w:rsidTr="00FA3B27">
        <w:trPr>
          <w:trHeight w:val="600"/>
        </w:trPr>
        <w:tc>
          <w:tcPr>
            <w:tcW w:w="2840" w:type="dxa"/>
            <w:tcBorders>
              <w:top w:val="nil"/>
              <w:left w:val="nil"/>
              <w:bottom w:val="nil"/>
              <w:right w:val="nil"/>
            </w:tcBorders>
            <w:shd w:val="clear" w:color="auto" w:fill="auto"/>
            <w:hideMark/>
          </w:tcPr>
          <w:p w14:paraId="5345DB4D" w14:textId="77777777" w:rsidR="00FA3B27" w:rsidRPr="00FA3B27" w:rsidRDefault="00FA3B27" w:rsidP="00FA3B27">
            <w:pPr>
              <w:jc w:val="left"/>
              <w:rPr>
                <w:rFonts w:cs="Arial"/>
                <w:color w:val="000000"/>
                <w:sz w:val="24"/>
                <w:szCs w:val="24"/>
              </w:rPr>
            </w:pPr>
            <w:r w:rsidRPr="00FA3B27">
              <w:rPr>
                <w:rFonts w:cs="Arial"/>
                <w:color w:val="000000"/>
                <w:sz w:val="24"/>
                <w:szCs w:val="24"/>
              </w:rPr>
              <w:t>Corporate Recharges for Central Overheads</w:t>
            </w:r>
          </w:p>
        </w:tc>
        <w:tc>
          <w:tcPr>
            <w:tcW w:w="1120" w:type="dxa"/>
            <w:tcBorders>
              <w:top w:val="nil"/>
              <w:left w:val="nil"/>
              <w:bottom w:val="nil"/>
              <w:right w:val="nil"/>
            </w:tcBorders>
            <w:shd w:val="clear" w:color="auto" w:fill="auto"/>
            <w:hideMark/>
          </w:tcPr>
          <w:p w14:paraId="39FB0C5D"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1,891 </w:t>
            </w:r>
          </w:p>
        </w:tc>
        <w:tc>
          <w:tcPr>
            <w:tcW w:w="1160" w:type="dxa"/>
            <w:tcBorders>
              <w:top w:val="nil"/>
              <w:left w:val="nil"/>
              <w:bottom w:val="nil"/>
              <w:right w:val="nil"/>
            </w:tcBorders>
            <w:shd w:val="clear" w:color="auto" w:fill="auto"/>
            <w:hideMark/>
          </w:tcPr>
          <w:p w14:paraId="6F161B22"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1,888 </w:t>
            </w:r>
          </w:p>
        </w:tc>
        <w:tc>
          <w:tcPr>
            <w:tcW w:w="1180" w:type="dxa"/>
            <w:tcBorders>
              <w:top w:val="nil"/>
              <w:left w:val="nil"/>
              <w:bottom w:val="nil"/>
              <w:right w:val="nil"/>
            </w:tcBorders>
            <w:shd w:val="clear" w:color="auto" w:fill="auto"/>
            <w:hideMark/>
          </w:tcPr>
          <w:p w14:paraId="3E1BCEE7"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1,925 </w:t>
            </w:r>
          </w:p>
        </w:tc>
        <w:tc>
          <w:tcPr>
            <w:tcW w:w="1140" w:type="dxa"/>
            <w:tcBorders>
              <w:top w:val="nil"/>
              <w:left w:val="nil"/>
              <w:bottom w:val="nil"/>
              <w:right w:val="nil"/>
            </w:tcBorders>
            <w:shd w:val="clear" w:color="auto" w:fill="auto"/>
            <w:hideMark/>
          </w:tcPr>
          <w:p w14:paraId="4BDD4EF5"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1,959 </w:t>
            </w:r>
          </w:p>
        </w:tc>
      </w:tr>
      <w:tr w:rsidR="00FA3B27" w:rsidRPr="00FA3B27" w14:paraId="02113B18" w14:textId="77777777" w:rsidTr="00FA3B27">
        <w:trPr>
          <w:trHeight w:val="600"/>
        </w:trPr>
        <w:tc>
          <w:tcPr>
            <w:tcW w:w="2840" w:type="dxa"/>
            <w:tcBorders>
              <w:top w:val="nil"/>
              <w:left w:val="nil"/>
              <w:bottom w:val="nil"/>
              <w:right w:val="nil"/>
            </w:tcBorders>
            <w:shd w:val="clear" w:color="auto" w:fill="auto"/>
            <w:hideMark/>
          </w:tcPr>
          <w:p w14:paraId="7B237271" w14:textId="77777777" w:rsidR="00FA3B27" w:rsidRPr="00FA3B27" w:rsidRDefault="00FA3B27" w:rsidP="00FA3B27">
            <w:pPr>
              <w:jc w:val="left"/>
              <w:rPr>
                <w:rFonts w:cs="Arial"/>
                <w:color w:val="000000"/>
                <w:sz w:val="24"/>
                <w:szCs w:val="24"/>
              </w:rPr>
            </w:pPr>
            <w:r w:rsidRPr="00FA3B27">
              <w:rPr>
                <w:rFonts w:cs="Arial"/>
                <w:color w:val="000000"/>
                <w:sz w:val="24"/>
                <w:szCs w:val="24"/>
              </w:rPr>
              <w:t>Reduction in establishment</w:t>
            </w:r>
          </w:p>
        </w:tc>
        <w:tc>
          <w:tcPr>
            <w:tcW w:w="1120" w:type="dxa"/>
            <w:tcBorders>
              <w:top w:val="nil"/>
              <w:left w:val="nil"/>
              <w:bottom w:val="nil"/>
              <w:right w:val="nil"/>
            </w:tcBorders>
            <w:shd w:val="clear" w:color="auto" w:fill="auto"/>
            <w:hideMark/>
          </w:tcPr>
          <w:p w14:paraId="19EA53A3"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-558 </w:t>
            </w:r>
          </w:p>
        </w:tc>
        <w:tc>
          <w:tcPr>
            <w:tcW w:w="1160" w:type="dxa"/>
            <w:tcBorders>
              <w:top w:val="nil"/>
              <w:left w:val="nil"/>
              <w:bottom w:val="nil"/>
              <w:right w:val="nil"/>
            </w:tcBorders>
            <w:shd w:val="clear" w:color="auto" w:fill="auto"/>
            <w:hideMark/>
          </w:tcPr>
          <w:p w14:paraId="4D974DFC"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-876 </w:t>
            </w:r>
          </w:p>
        </w:tc>
        <w:tc>
          <w:tcPr>
            <w:tcW w:w="1180" w:type="dxa"/>
            <w:tcBorders>
              <w:top w:val="nil"/>
              <w:left w:val="nil"/>
              <w:bottom w:val="nil"/>
              <w:right w:val="nil"/>
            </w:tcBorders>
            <w:shd w:val="clear" w:color="auto" w:fill="auto"/>
            <w:hideMark/>
          </w:tcPr>
          <w:p w14:paraId="4097981C"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-871 </w:t>
            </w:r>
          </w:p>
        </w:tc>
        <w:tc>
          <w:tcPr>
            <w:tcW w:w="1140" w:type="dxa"/>
            <w:tcBorders>
              <w:top w:val="nil"/>
              <w:left w:val="nil"/>
              <w:bottom w:val="nil"/>
              <w:right w:val="nil"/>
            </w:tcBorders>
            <w:shd w:val="clear" w:color="auto" w:fill="auto"/>
            <w:hideMark/>
          </w:tcPr>
          <w:p w14:paraId="12B342AA"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-871 </w:t>
            </w:r>
          </w:p>
        </w:tc>
      </w:tr>
      <w:tr w:rsidR="00FA3B27" w:rsidRPr="00FA3B27" w14:paraId="5E8BB449" w14:textId="77777777" w:rsidTr="00664795">
        <w:trPr>
          <w:trHeight w:val="600"/>
        </w:trPr>
        <w:tc>
          <w:tcPr>
            <w:tcW w:w="2840" w:type="dxa"/>
            <w:tcBorders>
              <w:top w:val="nil"/>
              <w:left w:val="nil"/>
              <w:bottom w:val="nil"/>
              <w:right w:val="nil"/>
            </w:tcBorders>
            <w:shd w:val="clear" w:color="auto" w:fill="auto"/>
            <w:hideMark/>
          </w:tcPr>
          <w:p w14:paraId="6A14B832" w14:textId="2EB5FE4C" w:rsidR="00FA3B27" w:rsidRPr="00FA3B27" w:rsidRDefault="00FA3B27" w:rsidP="00FA3B27">
            <w:pPr>
              <w:jc w:val="left"/>
              <w:rPr>
                <w:rFonts w:cs="Arial"/>
                <w:color w:val="000000"/>
                <w:sz w:val="24"/>
                <w:szCs w:val="24"/>
              </w:rPr>
            </w:pPr>
            <w:r w:rsidRPr="00FA3B27">
              <w:rPr>
                <w:rFonts w:cs="Arial"/>
                <w:color w:val="000000"/>
                <w:sz w:val="24"/>
                <w:szCs w:val="24"/>
              </w:rPr>
              <w:t>Othe</w:t>
            </w:r>
            <w:r>
              <w:rPr>
                <w:rFonts w:cs="Arial"/>
                <w:color w:val="000000"/>
                <w:sz w:val="24"/>
                <w:szCs w:val="24"/>
              </w:rPr>
              <w:t>r Non-Service Costs (See Table A</w:t>
            </w:r>
            <w:r w:rsidRPr="00FA3B27">
              <w:rPr>
                <w:rFonts w:cs="Arial"/>
                <w:color w:val="000000"/>
                <w:sz w:val="24"/>
                <w:szCs w:val="24"/>
              </w:rPr>
              <w:t>)</w:t>
            </w:r>
          </w:p>
        </w:tc>
        <w:tc>
          <w:tcPr>
            <w:tcW w:w="1120" w:type="dxa"/>
            <w:tcBorders>
              <w:top w:val="nil"/>
              <w:left w:val="nil"/>
              <w:bottom w:val="single" w:sz="4" w:space="0" w:color="auto"/>
              <w:right w:val="nil"/>
            </w:tcBorders>
            <w:shd w:val="clear" w:color="auto" w:fill="auto"/>
            <w:hideMark/>
          </w:tcPr>
          <w:p w14:paraId="37EB4403"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13,752 </w:t>
            </w:r>
          </w:p>
        </w:tc>
        <w:tc>
          <w:tcPr>
            <w:tcW w:w="1160" w:type="dxa"/>
            <w:tcBorders>
              <w:top w:val="nil"/>
              <w:left w:val="nil"/>
              <w:bottom w:val="single" w:sz="4" w:space="0" w:color="auto"/>
              <w:right w:val="nil"/>
            </w:tcBorders>
            <w:shd w:val="clear" w:color="auto" w:fill="auto"/>
            <w:hideMark/>
          </w:tcPr>
          <w:p w14:paraId="579CFC82"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13,748 </w:t>
            </w:r>
          </w:p>
        </w:tc>
        <w:tc>
          <w:tcPr>
            <w:tcW w:w="1180" w:type="dxa"/>
            <w:tcBorders>
              <w:top w:val="nil"/>
              <w:left w:val="nil"/>
              <w:bottom w:val="single" w:sz="4" w:space="0" w:color="auto"/>
              <w:right w:val="nil"/>
            </w:tcBorders>
            <w:shd w:val="clear" w:color="auto" w:fill="auto"/>
            <w:hideMark/>
          </w:tcPr>
          <w:p w14:paraId="3C8FE3C3"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15,370 </w:t>
            </w:r>
          </w:p>
        </w:tc>
        <w:tc>
          <w:tcPr>
            <w:tcW w:w="1140" w:type="dxa"/>
            <w:tcBorders>
              <w:top w:val="nil"/>
              <w:left w:val="nil"/>
              <w:bottom w:val="single" w:sz="4" w:space="0" w:color="auto"/>
              <w:right w:val="nil"/>
            </w:tcBorders>
            <w:shd w:val="clear" w:color="auto" w:fill="auto"/>
            <w:hideMark/>
          </w:tcPr>
          <w:p w14:paraId="77219630"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15,379 </w:t>
            </w:r>
          </w:p>
        </w:tc>
      </w:tr>
      <w:tr w:rsidR="00FA3B27" w:rsidRPr="00FA3B27" w14:paraId="6DD2FB7C" w14:textId="77777777" w:rsidTr="00664795">
        <w:trPr>
          <w:trHeight w:val="300"/>
        </w:trPr>
        <w:tc>
          <w:tcPr>
            <w:tcW w:w="2840" w:type="dxa"/>
            <w:tcBorders>
              <w:top w:val="nil"/>
              <w:left w:val="nil"/>
              <w:bottom w:val="nil"/>
              <w:right w:val="nil"/>
            </w:tcBorders>
            <w:shd w:val="clear" w:color="auto" w:fill="auto"/>
            <w:hideMark/>
          </w:tcPr>
          <w:p w14:paraId="3090304F" w14:textId="77777777" w:rsidR="00FA3B27" w:rsidRPr="00FA3B27" w:rsidRDefault="00FA3B27" w:rsidP="00FA3B27">
            <w:pPr>
              <w:jc w:val="left"/>
              <w:rPr>
                <w:rFonts w:cs="Arial"/>
                <w:color w:val="000000"/>
                <w:sz w:val="24"/>
                <w:szCs w:val="24"/>
              </w:rPr>
            </w:pPr>
            <w:r w:rsidRPr="00FA3B27">
              <w:rPr>
                <w:rFonts w:cs="Arial"/>
                <w:color w:val="000000"/>
                <w:sz w:val="24"/>
                <w:szCs w:val="24"/>
              </w:rPr>
              <w:t>Current Base</w:t>
            </w:r>
          </w:p>
        </w:tc>
        <w:tc>
          <w:tcPr>
            <w:tcW w:w="1120" w:type="dxa"/>
            <w:tcBorders>
              <w:top w:val="single" w:sz="4" w:space="0" w:color="auto"/>
              <w:left w:val="nil"/>
              <w:bottom w:val="nil"/>
              <w:right w:val="nil"/>
            </w:tcBorders>
            <w:shd w:val="clear" w:color="auto" w:fill="auto"/>
            <w:hideMark/>
          </w:tcPr>
          <w:p w14:paraId="269A0DBC" w14:textId="0EAD626D" w:rsidR="00FA3B27" w:rsidRPr="00FA3B27" w:rsidRDefault="009E65CF" w:rsidP="00FA3B27">
            <w:pPr>
              <w:jc w:val="center"/>
              <w:rPr>
                <w:rFonts w:cs="Arial"/>
                <w:color w:val="000000"/>
                <w:sz w:val="24"/>
                <w:szCs w:val="24"/>
              </w:rPr>
            </w:pPr>
            <w:r>
              <w:rPr>
                <w:rFonts w:cs="Arial"/>
                <w:color w:val="000000"/>
                <w:sz w:val="24"/>
                <w:szCs w:val="24"/>
              </w:rPr>
              <w:t>26,141</w:t>
            </w:r>
            <w:r w:rsidR="00FA3B27" w:rsidRPr="00FA3B27">
              <w:rPr>
                <w:rFonts w:cs="Arial"/>
                <w:color w:val="000000"/>
                <w:sz w:val="24"/>
                <w:szCs w:val="24"/>
              </w:rPr>
              <w:t xml:space="preserve"> </w:t>
            </w:r>
          </w:p>
        </w:tc>
        <w:tc>
          <w:tcPr>
            <w:tcW w:w="1160" w:type="dxa"/>
            <w:tcBorders>
              <w:top w:val="single" w:sz="4" w:space="0" w:color="auto"/>
              <w:left w:val="nil"/>
              <w:bottom w:val="nil"/>
              <w:right w:val="nil"/>
            </w:tcBorders>
            <w:shd w:val="clear" w:color="auto" w:fill="auto"/>
            <w:hideMark/>
          </w:tcPr>
          <w:p w14:paraId="7F0DA043"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26,058 </w:t>
            </w:r>
          </w:p>
        </w:tc>
        <w:tc>
          <w:tcPr>
            <w:tcW w:w="1180" w:type="dxa"/>
            <w:tcBorders>
              <w:top w:val="single" w:sz="4" w:space="0" w:color="auto"/>
              <w:left w:val="nil"/>
              <w:bottom w:val="nil"/>
              <w:right w:val="nil"/>
            </w:tcBorders>
            <w:shd w:val="clear" w:color="auto" w:fill="auto"/>
            <w:hideMark/>
          </w:tcPr>
          <w:p w14:paraId="48CA28AB"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27,915 </w:t>
            </w:r>
          </w:p>
        </w:tc>
        <w:tc>
          <w:tcPr>
            <w:tcW w:w="1140" w:type="dxa"/>
            <w:tcBorders>
              <w:top w:val="single" w:sz="4" w:space="0" w:color="auto"/>
              <w:left w:val="nil"/>
              <w:bottom w:val="nil"/>
              <w:right w:val="nil"/>
            </w:tcBorders>
            <w:shd w:val="clear" w:color="auto" w:fill="auto"/>
            <w:hideMark/>
          </w:tcPr>
          <w:p w14:paraId="0E870B8E"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28,150 </w:t>
            </w:r>
          </w:p>
        </w:tc>
      </w:tr>
      <w:tr w:rsidR="00FA3B27" w:rsidRPr="00FA3B27" w14:paraId="24158E1D" w14:textId="77777777" w:rsidTr="00FA3B27">
        <w:trPr>
          <w:trHeight w:val="300"/>
        </w:trPr>
        <w:tc>
          <w:tcPr>
            <w:tcW w:w="2840" w:type="dxa"/>
            <w:tcBorders>
              <w:top w:val="nil"/>
              <w:left w:val="nil"/>
              <w:bottom w:val="nil"/>
              <w:right w:val="nil"/>
            </w:tcBorders>
            <w:shd w:val="clear" w:color="auto" w:fill="auto"/>
            <w:hideMark/>
          </w:tcPr>
          <w:p w14:paraId="5206A707" w14:textId="77777777" w:rsidR="00FA3B27" w:rsidRPr="00FA3B27" w:rsidRDefault="00FA3B27" w:rsidP="00FA3B27">
            <w:pPr>
              <w:jc w:val="center"/>
              <w:rPr>
                <w:rFonts w:cs="Arial"/>
                <w:color w:val="000000"/>
                <w:sz w:val="24"/>
                <w:szCs w:val="24"/>
              </w:rPr>
            </w:pPr>
          </w:p>
        </w:tc>
        <w:tc>
          <w:tcPr>
            <w:tcW w:w="1120" w:type="dxa"/>
            <w:tcBorders>
              <w:top w:val="nil"/>
              <w:left w:val="nil"/>
              <w:bottom w:val="nil"/>
              <w:right w:val="nil"/>
            </w:tcBorders>
            <w:shd w:val="clear" w:color="auto" w:fill="auto"/>
            <w:noWrap/>
            <w:hideMark/>
          </w:tcPr>
          <w:p w14:paraId="64428F6F" w14:textId="77777777" w:rsidR="00FA3B27" w:rsidRPr="00FA3B27" w:rsidRDefault="00FA3B27" w:rsidP="00FA3B27">
            <w:pPr>
              <w:jc w:val="left"/>
              <w:rPr>
                <w:rFonts w:ascii="Times New Roman" w:hAnsi="Times New Roman"/>
                <w:sz w:val="20"/>
                <w:szCs w:val="20"/>
              </w:rPr>
            </w:pPr>
          </w:p>
        </w:tc>
        <w:tc>
          <w:tcPr>
            <w:tcW w:w="1160" w:type="dxa"/>
            <w:tcBorders>
              <w:top w:val="nil"/>
              <w:left w:val="nil"/>
              <w:bottom w:val="nil"/>
              <w:right w:val="nil"/>
            </w:tcBorders>
            <w:shd w:val="clear" w:color="auto" w:fill="auto"/>
            <w:noWrap/>
            <w:hideMark/>
          </w:tcPr>
          <w:p w14:paraId="688571A2" w14:textId="77777777" w:rsidR="00FA3B27" w:rsidRPr="00FA3B27" w:rsidRDefault="00FA3B27" w:rsidP="00FA3B27">
            <w:pPr>
              <w:jc w:val="center"/>
              <w:rPr>
                <w:rFonts w:ascii="Times New Roman" w:hAnsi="Times New Roman"/>
                <w:sz w:val="20"/>
                <w:szCs w:val="20"/>
              </w:rPr>
            </w:pPr>
          </w:p>
        </w:tc>
        <w:tc>
          <w:tcPr>
            <w:tcW w:w="1180" w:type="dxa"/>
            <w:tcBorders>
              <w:top w:val="nil"/>
              <w:left w:val="nil"/>
              <w:bottom w:val="nil"/>
              <w:right w:val="nil"/>
            </w:tcBorders>
            <w:shd w:val="clear" w:color="auto" w:fill="auto"/>
            <w:noWrap/>
            <w:hideMark/>
          </w:tcPr>
          <w:p w14:paraId="62654BA9" w14:textId="77777777" w:rsidR="00FA3B27" w:rsidRPr="00FA3B27" w:rsidRDefault="00FA3B27" w:rsidP="00FA3B27">
            <w:pPr>
              <w:jc w:val="center"/>
              <w:rPr>
                <w:rFonts w:ascii="Times New Roman" w:hAnsi="Times New Roman"/>
                <w:sz w:val="20"/>
                <w:szCs w:val="20"/>
              </w:rPr>
            </w:pPr>
          </w:p>
        </w:tc>
        <w:tc>
          <w:tcPr>
            <w:tcW w:w="1140" w:type="dxa"/>
            <w:tcBorders>
              <w:top w:val="nil"/>
              <w:left w:val="nil"/>
              <w:bottom w:val="nil"/>
              <w:right w:val="nil"/>
            </w:tcBorders>
            <w:shd w:val="clear" w:color="auto" w:fill="auto"/>
            <w:noWrap/>
            <w:hideMark/>
          </w:tcPr>
          <w:p w14:paraId="63147D3E" w14:textId="77777777" w:rsidR="00FA3B27" w:rsidRPr="00FA3B27" w:rsidRDefault="00FA3B27" w:rsidP="00FA3B27">
            <w:pPr>
              <w:jc w:val="center"/>
              <w:rPr>
                <w:rFonts w:ascii="Times New Roman" w:hAnsi="Times New Roman"/>
                <w:sz w:val="20"/>
                <w:szCs w:val="20"/>
              </w:rPr>
            </w:pPr>
          </w:p>
        </w:tc>
      </w:tr>
      <w:tr w:rsidR="00FA3B27" w:rsidRPr="00FA3B27" w14:paraId="10E9E7E0" w14:textId="77777777" w:rsidTr="00FA3B27">
        <w:trPr>
          <w:trHeight w:val="300"/>
        </w:trPr>
        <w:tc>
          <w:tcPr>
            <w:tcW w:w="2840" w:type="dxa"/>
            <w:tcBorders>
              <w:top w:val="nil"/>
              <w:left w:val="nil"/>
              <w:bottom w:val="nil"/>
              <w:right w:val="nil"/>
            </w:tcBorders>
            <w:shd w:val="clear" w:color="auto" w:fill="auto"/>
            <w:hideMark/>
          </w:tcPr>
          <w:p w14:paraId="69F9B929" w14:textId="77777777" w:rsidR="00FA3B27" w:rsidRPr="00FA3B27" w:rsidRDefault="00FA3B27" w:rsidP="00FA3B27">
            <w:pPr>
              <w:jc w:val="left"/>
              <w:rPr>
                <w:rFonts w:cs="Arial"/>
                <w:color w:val="000000"/>
                <w:sz w:val="24"/>
                <w:szCs w:val="24"/>
              </w:rPr>
            </w:pPr>
            <w:r w:rsidRPr="00FA3B27">
              <w:rPr>
                <w:rFonts w:cs="Arial"/>
                <w:color w:val="000000"/>
                <w:sz w:val="24"/>
                <w:szCs w:val="24"/>
              </w:rPr>
              <w:t>Financed From:</w:t>
            </w:r>
          </w:p>
        </w:tc>
        <w:tc>
          <w:tcPr>
            <w:tcW w:w="1120" w:type="dxa"/>
            <w:tcBorders>
              <w:top w:val="nil"/>
              <w:left w:val="nil"/>
              <w:bottom w:val="nil"/>
              <w:right w:val="nil"/>
            </w:tcBorders>
            <w:shd w:val="clear" w:color="auto" w:fill="auto"/>
            <w:noWrap/>
            <w:hideMark/>
          </w:tcPr>
          <w:p w14:paraId="2C4156CD" w14:textId="77777777" w:rsidR="00FA3B27" w:rsidRPr="00FA3B27" w:rsidRDefault="00FA3B27" w:rsidP="00FA3B27">
            <w:pPr>
              <w:jc w:val="left"/>
              <w:rPr>
                <w:rFonts w:cs="Arial"/>
                <w:color w:val="000000"/>
                <w:sz w:val="24"/>
                <w:szCs w:val="24"/>
              </w:rPr>
            </w:pPr>
          </w:p>
        </w:tc>
        <w:tc>
          <w:tcPr>
            <w:tcW w:w="1160" w:type="dxa"/>
            <w:tcBorders>
              <w:top w:val="nil"/>
              <w:left w:val="nil"/>
              <w:bottom w:val="nil"/>
              <w:right w:val="nil"/>
            </w:tcBorders>
            <w:shd w:val="clear" w:color="auto" w:fill="auto"/>
            <w:noWrap/>
            <w:hideMark/>
          </w:tcPr>
          <w:p w14:paraId="61ABC871" w14:textId="77777777" w:rsidR="00FA3B27" w:rsidRPr="00FA3B27" w:rsidRDefault="00FA3B27" w:rsidP="00FA3B27">
            <w:pPr>
              <w:jc w:val="center"/>
              <w:rPr>
                <w:rFonts w:ascii="Times New Roman" w:hAnsi="Times New Roman"/>
                <w:sz w:val="20"/>
                <w:szCs w:val="20"/>
              </w:rPr>
            </w:pPr>
          </w:p>
        </w:tc>
        <w:tc>
          <w:tcPr>
            <w:tcW w:w="1180" w:type="dxa"/>
            <w:tcBorders>
              <w:top w:val="nil"/>
              <w:left w:val="nil"/>
              <w:bottom w:val="nil"/>
              <w:right w:val="nil"/>
            </w:tcBorders>
            <w:shd w:val="clear" w:color="auto" w:fill="auto"/>
            <w:noWrap/>
            <w:hideMark/>
          </w:tcPr>
          <w:p w14:paraId="16358C51" w14:textId="77777777" w:rsidR="00FA3B27" w:rsidRPr="00FA3B27" w:rsidRDefault="00FA3B27" w:rsidP="00FA3B27">
            <w:pPr>
              <w:jc w:val="center"/>
              <w:rPr>
                <w:rFonts w:ascii="Times New Roman" w:hAnsi="Times New Roman"/>
                <w:sz w:val="20"/>
                <w:szCs w:val="20"/>
              </w:rPr>
            </w:pPr>
          </w:p>
        </w:tc>
        <w:tc>
          <w:tcPr>
            <w:tcW w:w="1140" w:type="dxa"/>
            <w:tcBorders>
              <w:top w:val="nil"/>
              <w:left w:val="nil"/>
              <w:bottom w:val="nil"/>
              <w:right w:val="nil"/>
            </w:tcBorders>
            <w:shd w:val="clear" w:color="auto" w:fill="auto"/>
            <w:noWrap/>
            <w:hideMark/>
          </w:tcPr>
          <w:p w14:paraId="1F54BD2B" w14:textId="77777777" w:rsidR="00FA3B27" w:rsidRPr="00FA3B27" w:rsidRDefault="00FA3B27" w:rsidP="00FA3B27">
            <w:pPr>
              <w:jc w:val="center"/>
              <w:rPr>
                <w:rFonts w:ascii="Times New Roman" w:hAnsi="Times New Roman"/>
                <w:sz w:val="20"/>
                <w:szCs w:val="20"/>
              </w:rPr>
            </w:pPr>
          </w:p>
        </w:tc>
      </w:tr>
      <w:tr w:rsidR="00FA3B27" w:rsidRPr="00FA3B27" w14:paraId="3047FE06" w14:textId="77777777" w:rsidTr="00FA3B27">
        <w:trPr>
          <w:trHeight w:val="300"/>
        </w:trPr>
        <w:tc>
          <w:tcPr>
            <w:tcW w:w="2840" w:type="dxa"/>
            <w:tcBorders>
              <w:top w:val="nil"/>
              <w:left w:val="nil"/>
              <w:bottom w:val="nil"/>
              <w:right w:val="nil"/>
            </w:tcBorders>
            <w:shd w:val="clear" w:color="auto" w:fill="auto"/>
            <w:hideMark/>
          </w:tcPr>
          <w:p w14:paraId="78713A43" w14:textId="77777777" w:rsidR="00FA3B27" w:rsidRPr="00FA3B27" w:rsidRDefault="00FA3B27" w:rsidP="00FA3B27">
            <w:pPr>
              <w:jc w:val="left"/>
              <w:rPr>
                <w:rFonts w:cs="Arial"/>
                <w:color w:val="000000"/>
                <w:sz w:val="24"/>
                <w:szCs w:val="24"/>
              </w:rPr>
            </w:pPr>
            <w:r w:rsidRPr="00FA3B27">
              <w:rPr>
                <w:rFonts w:cs="Arial"/>
                <w:color w:val="000000"/>
                <w:sz w:val="24"/>
                <w:szCs w:val="24"/>
              </w:rPr>
              <w:t>Dwelling rents</w:t>
            </w:r>
          </w:p>
        </w:tc>
        <w:tc>
          <w:tcPr>
            <w:tcW w:w="1120" w:type="dxa"/>
            <w:tcBorders>
              <w:top w:val="nil"/>
              <w:left w:val="nil"/>
              <w:bottom w:val="nil"/>
              <w:right w:val="nil"/>
            </w:tcBorders>
            <w:shd w:val="clear" w:color="auto" w:fill="auto"/>
            <w:hideMark/>
          </w:tcPr>
          <w:p w14:paraId="2AD51DE4" w14:textId="2FCCAF73" w:rsidR="00FA3B27" w:rsidRPr="00FA3B27" w:rsidRDefault="009E65CF" w:rsidP="00FA3B27">
            <w:pPr>
              <w:jc w:val="center"/>
              <w:rPr>
                <w:rFonts w:cs="Arial"/>
                <w:color w:val="000000"/>
                <w:sz w:val="24"/>
                <w:szCs w:val="24"/>
              </w:rPr>
            </w:pPr>
            <w:r>
              <w:rPr>
                <w:rFonts w:cs="Arial"/>
                <w:color w:val="000000"/>
                <w:sz w:val="24"/>
                <w:szCs w:val="24"/>
              </w:rPr>
              <w:t>-24,327</w:t>
            </w:r>
            <w:r w:rsidR="00FA3B27" w:rsidRPr="00FA3B27">
              <w:rPr>
                <w:rFonts w:cs="Arial"/>
                <w:color w:val="000000"/>
                <w:sz w:val="24"/>
                <w:szCs w:val="24"/>
              </w:rPr>
              <w:t xml:space="preserve"> </w:t>
            </w:r>
          </w:p>
        </w:tc>
        <w:tc>
          <w:tcPr>
            <w:tcW w:w="1160" w:type="dxa"/>
            <w:tcBorders>
              <w:top w:val="nil"/>
              <w:left w:val="nil"/>
              <w:bottom w:val="nil"/>
              <w:right w:val="nil"/>
            </w:tcBorders>
            <w:shd w:val="clear" w:color="auto" w:fill="auto"/>
            <w:hideMark/>
          </w:tcPr>
          <w:p w14:paraId="4CE88FEA"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-24,272 </w:t>
            </w:r>
          </w:p>
        </w:tc>
        <w:tc>
          <w:tcPr>
            <w:tcW w:w="1180" w:type="dxa"/>
            <w:tcBorders>
              <w:top w:val="nil"/>
              <w:left w:val="nil"/>
              <w:bottom w:val="nil"/>
              <w:right w:val="nil"/>
            </w:tcBorders>
            <w:shd w:val="clear" w:color="auto" w:fill="auto"/>
            <w:hideMark/>
          </w:tcPr>
          <w:p w14:paraId="10E5E6EB"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-24,682 </w:t>
            </w:r>
          </w:p>
        </w:tc>
        <w:tc>
          <w:tcPr>
            <w:tcW w:w="1140" w:type="dxa"/>
            <w:tcBorders>
              <w:top w:val="nil"/>
              <w:left w:val="nil"/>
              <w:bottom w:val="nil"/>
              <w:right w:val="nil"/>
            </w:tcBorders>
            <w:shd w:val="clear" w:color="auto" w:fill="auto"/>
            <w:hideMark/>
          </w:tcPr>
          <w:p w14:paraId="5ED86FDB"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-25,106 </w:t>
            </w:r>
          </w:p>
        </w:tc>
      </w:tr>
      <w:tr w:rsidR="00FA3B27" w:rsidRPr="00FA3B27" w14:paraId="6D29BF40" w14:textId="77777777" w:rsidTr="00FA3B27">
        <w:trPr>
          <w:trHeight w:val="300"/>
        </w:trPr>
        <w:tc>
          <w:tcPr>
            <w:tcW w:w="2840" w:type="dxa"/>
            <w:tcBorders>
              <w:top w:val="nil"/>
              <w:left w:val="nil"/>
              <w:bottom w:val="nil"/>
              <w:right w:val="nil"/>
            </w:tcBorders>
            <w:shd w:val="clear" w:color="auto" w:fill="auto"/>
            <w:hideMark/>
          </w:tcPr>
          <w:p w14:paraId="54E9015F" w14:textId="77777777" w:rsidR="00FA3B27" w:rsidRPr="00FA3B27" w:rsidRDefault="00FA3B27" w:rsidP="00FA3B27">
            <w:pPr>
              <w:jc w:val="left"/>
              <w:rPr>
                <w:rFonts w:cs="Arial"/>
                <w:color w:val="000000"/>
                <w:sz w:val="24"/>
                <w:szCs w:val="24"/>
              </w:rPr>
            </w:pPr>
            <w:r w:rsidRPr="00FA3B27">
              <w:rPr>
                <w:rFonts w:cs="Arial"/>
                <w:color w:val="000000"/>
                <w:sz w:val="24"/>
                <w:szCs w:val="24"/>
              </w:rPr>
              <w:t>Commercial Rents</w:t>
            </w:r>
          </w:p>
        </w:tc>
        <w:tc>
          <w:tcPr>
            <w:tcW w:w="1120" w:type="dxa"/>
            <w:tcBorders>
              <w:top w:val="nil"/>
              <w:left w:val="nil"/>
              <w:bottom w:val="nil"/>
              <w:right w:val="nil"/>
            </w:tcBorders>
            <w:shd w:val="clear" w:color="auto" w:fill="auto"/>
            <w:hideMark/>
          </w:tcPr>
          <w:p w14:paraId="09E68783" w14:textId="5A73ACD0" w:rsidR="00FA3B27" w:rsidRPr="00FA3B27" w:rsidRDefault="00FA3B27" w:rsidP="00FA3B27">
            <w:pPr>
              <w:jc w:val="center"/>
              <w:rPr>
                <w:rFonts w:cs="Arial"/>
                <w:color w:val="000000"/>
                <w:sz w:val="24"/>
                <w:szCs w:val="24"/>
              </w:rPr>
            </w:pPr>
            <w:r w:rsidRPr="00FA3B27">
              <w:rPr>
                <w:rFonts w:cs="Arial"/>
                <w:color w:val="000000"/>
                <w:sz w:val="24"/>
                <w:szCs w:val="24"/>
              </w:rPr>
              <w:t xml:space="preserve">-533 </w:t>
            </w:r>
            <w:r w:rsidR="009E65CF">
              <w:rPr>
                <w:rFonts w:cs="Arial"/>
                <w:color w:val="000000"/>
                <w:sz w:val="24"/>
                <w:szCs w:val="24"/>
              </w:rPr>
              <w:t>x</w:t>
            </w:r>
          </w:p>
        </w:tc>
        <w:tc>
          <w:tcPr>
            <w:tcW w:w="1160" w:type="dxa"/>
            <w:tcBorders>
              <w:top w:val="nil"/>
              <w:left w:val="nil"/>
              <w:bottom w:val="nil"/>
              <w:right w:val="nil"/>
            </w:tcBorders>
            <w:shd w:val="clear" w:color="auto" w:fill="auto"/>
            <w:hideMark/>
          </w:tcPr>
          <w:p w14:paraId="6BE95293"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-560 </w:t>
            </w:r>
          </w:p>
        </w:tc>
        <w:tc>
          <w:tcPr>
            <w:tcW w:w="1180" w:type="dxa"/>
            <w:tcBorders>
              <w:top w:val="nil"/>
              <w:left w:val="nil"/>
              <w:bottom w:val="nil"/>
              <w:right w:val="nil"/>
            </w:tcBorders>
            <w:shd w:val="clear" w:color="auto" w:fill="auto"/>
            <w:hideMark/>
          </w:tcPr>
          <w:p w14:paraId="7111D520"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-572 </w:t>
            </w:r>
          </w:p>
        </w:tc>
        <w:tc>
          <w:tcPr>
            <w:tcW w:w="1140" w:type="dxa"/>
            <w:tcBorders>
              <w:top w:val="nil"/>
              <w:left w:val="nil"/>
              <w:bottom w:val="nil"/>
              <w:right w:val="nil"/>
            </w:tcBorders>
            <w:shd w:val="clear" w:color="auto" w:fill="auto"/>
            <w:hideMark/>
          </w:tcPr>
          <w:p w14:paraId="542A130D"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-585 </w:t>
            </w:r>
          </w:p>
        </w:tc>
      </w:tr>
      <w:tr w:rsidR="00FA3B27" w:rsidRPr="00FA3B27" w14:paraId="51CDA858" w14:textId="77777777" w:rsidTr="00FA3B27">
        <w:trPr>
          <w:trHeight w:val="300"/>
        </w:trPr>
        <w:tc>
          <w:tcPr>
            <w:tcW w:w="2840" w:type="dxa"/>
            <w:tcBorders>
              <w:top w:val="nil"/>
              <w:left w:val="nil"/>
              <w:bottom w:val="nil"/>
              <w:right w:val="nil"/>
            </w:tcBorders>
            <w:shd w:val="clear" w:color="auto" w:fill="auto"/>
            <w:hideMark/>
          </w:tcPr>
          <w:p w14:paraId="759AD8CE" w14:textId="77777777" w:rsidR="00FA3B27" w:rsidRPr="00FA3B27" w:rsidRDefault="00FA3B27" w:rsidP="00FA3B27">
            <w:pPr>
              <w:jc w:val="left"/>
              <w:rPr>
                <w:rFonts w:cs="Arial"/>
                <w:color w:val="000000"/>
                <w:sz w:val="24"/>
                <w:szCs w:val="24"/>
              </w:rPr>
            </w:pPr>
            <w:r w:rsidRPr="00FA3B27">
              <w:rPr>
                <w:rFonts w:cs="Arial"/>
                <w:color w:val="000000"/>
                <w:sz w:val="24"/>
                <w:szCs w:val="24"/>
              </w:rPr>
              <w:t>Assisted Living</w:t>
            </w:r>
          </w:p>
        </w:tc>
        <w:tc>
          <w:tcPr>
            <w:tcW w:w="1120" w:type="dxa"/>
            <w:tcBorders>
              <w:top w:val="nil"/>
              <w:left w:val="nil"/>
              <w:bottom w:val="nil"/>
              <w:right w:val="nil"/>
            </w:tcBorders>
            <w:shd w:val="clear" w:color="auto" w:fill="auto"/>
            <w:hideMark/>
          </w:tcPr>
          <w:p w14:paraId="507C6007"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-121 </w:t>
            </w:r>
          </w:p>
        </w:tc>
        <w:tc>
          <w:tcPr>
            <w:tcW w:w="1160" w:type="dxa"/>
            <w:tcBorders>
              <w:top w:val="nil"/>
              <w:left w:val="nil"/>
              <w:bottom w:val="nil"/>
              <w:right w:val="nil"/>
            </w:tcBorders>
            <w:shd w:val="clear" w:color="auto" w:fill="auto"/>
            <w:hideMark/>
          </w:tcPr>
          <w:p w14:paraId="4E7CDCDC"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-123 </w:t>
            </w:r>
          </w:p>
        </w:tc>
        <w:tc>
          <w:tcPr>
            <w:tcW w:w="1180" w:type="dxa"/>
            <w:tcBorders>
              <w:top w:val="nil"/>
              <w:left w:val="nil"/>
              <w:bottom w:val="nil"/>
              <w:right w:val="nil"/>
            </w:tcBorders>
            <w:shd w:val="clear" w:color="auto" w:fill="auto"/>
            <w:hideMark/>
          </w:tcPr>
          <w:p w14:paraId="2731C87A"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-126 </w:t>
            </w:r>
          </w:p>
        </w:tc>
        <w:tc>
          <w:tcPr>
            <w:tcW w:w="1140" w:type="dxa"/>
            <w:tcBorders>
              <w:top w:val="nil"/>
              <w:left w:val="nil"/>
              <w:bottom w:val="nil"/>
              <w:right w:val="nil"/>
            </w:tcBorders>
            <w:shd w:val="clear" w:color="auto" w:fill="auto"/>
            <w:hideMark/>
          </w:tcPr>
          <w:p w14:paraId="3BE4C105"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-128 </w:t>
            </w:r>
          </w:p>
        </w:tc>
      </w:tr>
      <w:tr w:rsidR="00FA3B27" w:rsidRPr="00FA3B27" w14:paraId="3E1F0127" w14:textId="77777777" w:rsidTr="00664795">
        <w:trPr>
          <w:trHeight w:val="300"/>
        </w:trPr>
        <w:tc>
          <w:tcPr>
            <w:tcW w:w="2840" w:type="dxa"/>
            <w:tcBorders>
              <w:top w:val="nil"/>
              <w:left w:val="nil"/>
              <w:bottom w:val="nil"/>
              <w:right w:val="nil"/>
            </w:tcBorders>
            <w:shd w:val="clear" w:color="auto" w:fill="auto"/>
            <w:hideMark/>
          </w:tcPr>
          <w:p w14:paraId="59C01567" w14:textId="77777777" w:rsidR="00FA3B27" w:rsidRPr="00FA3B27" w:rsidRDefault="00FA3B27" w:rsidP="00FA3B27">
            <w:pPr>
              <w:jc w:val="left"/>
              <w:rPr>
                <w:rFonts w:cs="Arial"/>
                <w:color w:val="000000"/>
                <w:sz w:val="24"/>
                <w:szCs w:val="24"/>
              </w:rPr>
            </w:pPr>
            <w:r w:rsidRPr="00FA3B27">
              <w:rPr>
                <w:rFonts w:cs="Arial"/>
                <w:color w:val="000000"/>
                <w:sz w:val="24"/>
                <w:szCs w:val="24"/>
              </w:rPr>
              <w:t>GF Contributions</w:t>
            </w:r>
          </w:p>
        </w:tc>
        <w:tc>
          <w:tcPr>
            <w:tcW w:w="1120" w:type="dxa"/>
            <w:tcBorders>
              <w:top w:val="nil"/>
              <w:left w:val="nil"/>
              <w:right w:val="nil"/>
            </w:tcBorders>
            <w:shd w:val="clear" w:color="auto" w:fill="auto"/>
            <w:hideMark/>
          </w:tcPr>
          <w:p w14:paraId="3901FDAA"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-592 </w:t>
            </w:r>
          </w:p>
        </w:tc>
        <w:tc>
          <w:tcPr>
            <w:tcW w:w="1160" w:type="dxa"/>
            <w:tcBorders>
              <w:top w:val="nil"/>
              <w:left w:val="nil"/>
              <w:right w:val="nil"/>
            </w:tcBorders>
            <w:shd w:val="clear" w:color="auto" w:fill="auto"/>
            <w:hideMark/>
          </w:tcPr>
          <w:p w14:paraId="1C6D3628"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-592 </w:t>
            </w:r>
          </w:p>
        </w:tc>
        <w:tc>
          <w:tcPr>
            <w:tcW w:w="1180" w:type="dxa"/>
            <w:tcBorders>
              <w:top w:val="nil"/>
              <w:left w:val="nil"/>
              <w:right w:val="nil"/>
            </w:tcBorders>
            <w:shd w:val="clear" w:color="auto" w:fill="auto"/>
            <w:hideMark/>
          </w:tcPr>
          <w:p w14:paraId="24C35661"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-593 </w:t>
            </w:r>
          </w:p>
        </w:tc>
        <w:tc>
          <w:tcPr>
            <w:tcW w:w="1140" w:type="dxa"/>
            <w:tcBorders>
              <w:top w:val="nil"/>
              <w:left w:val="nil"/>
              <w:right w:val="nil"/>
            </w:tcBorders>
            <w:shd w:val="clear" w:color="auto" w:fill="auto"/>
            <w:hideMark/>
          </w:tcPr>
          <w:p w14:paraId="74D58367"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-593 </w:t>
            </w:r>
          </w:p>
        </w:tc>
      </w:tr>
      <w:tr w:rsidR="00FA3B27" w:rsidRPr="00FA3B27" w14:paraId="0EB89851" w14:textId="77777777" w:rsidTr="00FA3B27">
        <w:trPr>
          <w:trHeight w:val="300"/>
        </w:trPr>
        <w:tc>
          <w:tcPr>
            <w:tcW w:w="2840" w:type="dxa"/>
            <w:tcBorders>
              <w:top w:val="nil"/>
              <w:left w:val="nil"/>
              <w:bottom w:val="nil"/>
              <w:right w:val="nil"/>
            </w:tcBorders>
            <w:shd w:val="clear" w:color="auto" w:fill="auto"/>
            <w:hideMark/>
          </w:tcPr>
          <w:p w14:paraId="467BFD06" w14:textId="77777777" w:rsidR="00FA3B27" w:rsidRPr="00FA3B27" w:rsidRDefault="00FA3B27" w:rsidP="00FA3B27">
            <w:pPr>
              <w:jc w:val="left"/>
              <w:rPr>
                <w:rFonts w:cs="Arial"/>
                <w:color w:val="000000"/>
                <w:sz w:val="24"/>
                <w:szCs w:val="24"/>
              </w:rPr>
            </w:pPr>
            <w:r w:rsidRPr="00FA3B27">
              <w:rPr>
                <w:rFonts w:cs="Arial"/>
                <w:color w:val="000000"/>
                <w:sz w:val="24"/>
                <w:szCs w:val="24"/>
              </w:rPr>
              <w:t>District Heating Income</w:t>
            </w:r>
          </w:p>
        </w:tc>
        <w:tc>
          <w:tcPr>
            <w:tcW w:w="1120" w:type="dxa"/>
            <w:tcBorders>
              <w:top w:val="nil"/>
              <w:left w:val="nil"/>
              <w:bottom w:val="nil"/>
              <w:right w:val="nil"/>
            </w:tcBorders>
            <w:shd w:val="clear" w:color="auto" w:fill="auto"/>
            <w:hideMark/>
          </w:tcPr>
          <w:p w14:paraId="1DA6B070"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-569 </w:t>
            </w:r>
          </w:p>
        </w:tc>
        <w:tc>
          <w:tcPr>
            <w:tcW w:w="1160" w:type="dxa"/>
            <w:tcBorders>
              <w:top w:val="nil"/>
              <w:left w:val="nil"/>
              <w:bottom w:val="nil"/>
              <w:right w:val="nil"/>
            </w:tcBorders>
            <w:shd w:val="clear" w:color="auto" w:fill="auto"/>
            <w:hideMark/>
          </w:tcPr>
          <w:p w14:paraId="1ECB89B0"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-510 </w:t>
            </w:r>
          </w:p>
        </w:tc>
        <w:tc>
          <w:tcPr>
            <w:tcW w:w="1180" w:type="dxa"/>
            <w:tcBorders>
              <w:top w:val="nil"/>
              <w:left w:val="nil"/>
              <w:bottom w:val="nil"/>
              <w:right w:val="nil"/>
            </w:tcBorders>
            <w:shd w:val="clear" w:color="auto" w:fill="auto"/>
            <w:hideMark/>
          </w:tcPr>
          <w:p w14:paraId="016DE5FB"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-521 </w:t>
            </w:r>
          </w:p>
        </w:tc>
        <w:tc>
          <w:tcPr>
            <w:tcW w:w="1140" w:type="dxa"/>
            <w:tcBorders>
              <w:top w:val="nil"/>
              <w:left w:val="nil"/>
              <w:bottom w:val="nil"/>
              <w:right w:val="nil"/>
            </w:tcBorders>
            <w:shd w:val="clear" w:color="auto" w:fill="auto"/>
            <w:hideMark/>
          </w:tcPr>
          <w:p w14:paraId="701C74C5"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-529 </w:t>
            </w:r>
          </w:p>
        </w:tc>
      </w:tr>
      <w:tr w:rsidR="00FA3B27" w:rsidRPr="00FA3B27" w14:paraId="5CC60829" w14:textId="77777777" w:rsidTr="00664795">
        <w:trPr>
          <w:trHeight w:val="300"/>
        </w:trPr>
        <w:tc>
          <w:tcPr>
            <w:tcW w:w="2840" w:type="dxa"/>
            <w:tcBorders>
              <w:top w:val="nil"/>
              <w:left w:val="nil"/>
              <w:bottom w:val="nil"/>
              <w:right w:val="nil"/>
            </w:tcBorders>
            <w:shd w:val="clear" w:color="auto" w:fill="auto"/>
            <w:hideMark/>
          </w:tcPr>
          <w:p w14:paraId="5AB805E9" w14:textId="77777777" w:rsidR="00FA3B27" w:rsidRPr="00FA3B27" w:rsidRDefault="00FA3B27" w:rsidP="00FA3B27">
            <w:pPr>
              <w:jc w:val="center"/>
              <w:rPr>
                <w:rFonts w:cs="Arial"/>
                <w:color w:val="000000"/>
                <w:sz w:val="24"/>
                <w:szCs w:val="24"/>
              </w:rPr>
            </w:pPr>
          </w:p>
        </w:tc>
        <w:tc>
          <w:tcPr>
            <w:tcW w:w="1120" w:type="dxa"/>
            <w:tcBorders>
              <w:top w:val="nil"/>
              <w:left w:val="nil"/>
              <w:bottom w:val="single" w:sz="4" w:space="0" w:color="auto"/>
              <w:right w:val="nil"/>
            </w:tcBorders>
            <w:shd w:val="clear" w:color="auto" w:fill="auto"/>
            <w:hideMark/>
          </w:tcPr>
          <w:p w14:paraId="60C7951B" w14:textId="77777777" w:rsidR="00FA3B27" w:rsidRPr="00FA3B27" w:rsidRDefault="00FA3B27" w:rsidP="00FA3B27">
            <w:pPr>
              <w:jc w:val="center"/>
              <w:rPr>
                <w:rFonts w:cs="Arial"/>
                <w:color w:val="000000"/>
                <w:sz w:val="24"/>
                <w:szCs w:val="24"/>
              </w:rPr>
            </w:pPr>
            <w:r w:rsidRPr="00FA3B27">
              <w:rPr>
                <w:rFonts w:cs="Arial"/>
                <w:color w:val="000000"/>
                <w:sz w:val="24"/>
                <w:szCs w:val="24"/>
              </w:rPr>
              <w:t> </w:t>
            </w:r>
          </w:p>
        </w:tc>
        <w:tc>
          <w:tcPr>
            <w:tcW w:w="1160" w:type="dxa"/>
            <w:tcBorders>
              <w:top w:val="nil"/>
              <w:left w:val="nil"/>
              <w:bottom w:val="single" w:sz="4" w:space="0" w:color="auto"/>
              <w:right w:val="nil"/>
            </w:tcBorders>
            <w:shd w:val="clear" w:color="auto" w:fill="auto"/>
            <w:hideMark/>
          </w:tcPr>
          <w:p w14:paraId="63B0285D" w14:textId="77777777" w:rsidR="00FA3B27" w:rsidRPr="00FA3B27" w:rsidRDefault="00FA3B27" w:rsidP="00FA3B27">
            <w:pPr>
              <w:jc w:val="center"/>
              <w:rPr>
                <w:rFonts w:cs="Arial"/>
                <w:color w:val="000000"/>
                <w:sz w:val="24"/>
                <w:szCs w:val="24"/>
              </w:rPr>
            </w:pPr>
            <w:r w:rsidRPr="00FA3B27">
              <w:rPr>
                <w:rFonts w:cs="Arial"/>
                <w:color w:val="000000"/>
                <w:sz w:val="24"/>
                <w:szCs w:val="24"/>
              </w:rPr>
              <w:t> </w:t>
            </w:r>
          </w:p>
        </w:tc>
        <w:tc>
          <w:tcPr>
            <w:tcW w:w="1180" w:type="dxa"/>
            <w:tcBorders>
              <w:top w:val="nil"/>
              <w:left w:val="nil"/>
              <w:bottom w:val="single" w:sz="4" w:space="0" w:color="auto"/>
              <w:right w:val="nil"/>
            </w:tcBorders>
            <w:shd w:val="clear" w:color="auto" w:fill="auto"/>
            <w:hideMark/>
          </w:tcPr>
          <w:p w14:paraId="780965C7" w14:textId="77777777" w:rsidR="00FA3B27" w:rsidRPr="00FA3B27" w:rsidRDefault="00FA3B27" w:rsidP="00FA3B27">
            <w:pPr>
              <w:jc w:val="center"/>
              <w:rPr>
                <w:rFonts w:cs="Arial"/>
                <w:color w:val="000000"/>
                <w:sz w:val="24"/>
                <w:szCs w:val="24"/>
              </w:rPr>
            </w:pPr>
            <w:r w:rsidRPr="00FA3B27">
              <w:rPr>
                <w:rFonts w:cs="Arial"/>
                <w:color w:val="000000"/>
                <w:sz w:val="24"/>
                <w:szCs w:val="24"/>
              </w:rPr>
              <w:t> </w:t>
            </w:r>
          </w:p>
        </w:tc>
        <w:tc>
          <w:tcPr>
            <w:tcW w:w="1140" w:type="dxa"/>
            <w:tcBorders>
              <w:top w:val="nil"/>
              <w:left w:val="nil"/>
              <w:bottom w:val="single" w:sz="4" w:space="0" w:color="auto"/>
              <w:right w:val="nil"/>
            </w:tcBorders>
            <w:shd w:val="clear" w:color="auto" w:fill="auto"/>
            <w:hideMark/>
          </w:tcPr>
          <w:p w14:paraId="1B927603" w14:textId="77777777" w:rsidR="00FA3B27" w:rsidRPr="00FA3B27" w:rsidRDefault="00FA3B27" w:rsidP="00FA3B27">
            <w:pPr>
              <w:jc w:val="center"/>
              <w:rPr>
                <w:rFonts w:cs="Arial"/>
                <w:color w:val="000000"/>
                <w:sz w:val="24"/>
                <w:szCs w:val="24"/>
              </w:rPr>
            </w:pPr>
            <w:r w:rsidRPr="00FA3B27">
              <w:rPr>
                <w:rFonts w:cs="Arial"/>
                <w:color w:val="000000"/>
                <w:sz w:val="24"/>
                <w:szCs w:val="24"/>
              </w:rPr>
              <w:t> </w:t>
            </w:r>
          </w:p>
        </w:tc>
      </w:tr>
      <w:tr w:rsidR="00FA3B27" w:rsidRPr="00FA3B27" w14:paraId="1E1851D2" w14:textId="77777777" w:rsidTr="00664795">
        <w:trPr>
          <w:trHeight w:val="300"/>
        </w:trPr>
        <w:tc>
          <w:tcPr>
            <w:tcW w:w="2840" w:type="dxa"/>
            <w:tcBorders>
              <w:top w:val="nil"/>
              <w:left w:val="nil"/>
              <w:bottom w:val="nil"/>
              <w:right w:val="nil"/>
            </w:tcBorders>
            <w:shd w:val="clear" w:color="auto" w:fill="auto"/>
            <w:hideMark/>
          </w:tcPr>
          <w:p w14:paraId="3433FA24" w14:textId="77777777" w:rsidR="00FA3B27" w:rsidRPr="00FA3B27" w:rsidRDefault="00FA3B27" w:rsidP="00FA3B27">
            <w:pPr>
              <w:jc w:val="left"/>
              <w:rPr>
                <w:rFonts w:cs="Arial"/>
                <w:color w:val="000000"/>
                <w:sz w:val="24"/>
                <w:szCs w:val="24"/>
              </w:rPr>
            </w:pPr>
            <w:r w:rsidRPr="00FA3B27">
              <w:rPr>
                <w:rFonts w:cs="Arial"/>
                <w:color w:val="000000"/>
                <w:sz w:val="24"/>
                <w:szCs w:val="24"/>
              </w:rPr>
              <w:t>Deficit / (-) Surplus</w:t>
            </w:r>
          </w:p>
        </w:tc>
        <w:tc>
          <w:tcPr>
            <w:tcW w:w="1120" w:type="dxa"/>
            <w:tcBorders>
              <w:top w:val="single" w:sz="4" w:space="0" w:color="auto"/>
              <w:left w:val="nil"/>
              <w:bottom w:val="nil"/>
              <w:right w:val="nil"/>
            </w:tcBorders>
            <w:shd w:val="clear" w:color="auto" w:fill="auto"/>
            <w:hideMark/>
          </w:tcPr>
          <w:p w14:paraId="49100A79" w14:textId="2787A65B" w:rsidR="00FA3B27" w:rsidRPr="00FA3B27" w:rsidRDefault="009E65CF" w:rsidP="009E65CF">
            <w:pPr>
              <w:jc w:val="center"/>
              <w:rPr>
                <w:rFonts w:cs="Arial"/>
                <w:color w:val="000000"/>
                <w:sz w:val="24"/>
                <w:szCs w:val="24"/>
              </w:rPr>
            </w:pPr>
            <w:r>
              <w:rPr>
                <w:rFonts w:cs="Arial"/>
                <w:color w:val="000000"/>
                <w:sz w:val="24"/>
                <w:szCs w:val="24"/>
              </w:rPr>
              <w:t>0</w:t>
            </w:r>
            <w:r w:rsidR="00FA3B27" w:rsidRPr="00FA3B27">
              <w:rPr>
                <w:rFonts w:cs="Arial"/>
                <w:color w:val="000000"/>
                <w:sz w:val="24"/>
                <w:szCs w:val="24"/>
              </w:rPr>
              <w:t xml:space="preserve"> </w:t>
            </w:r>
          </w:p>
        </w:tc>
        <w:tc>
          <w:tcPr>
            <w:tcW w:w="1160" w:type="dxa"/>
            <w:tcBorders>
              <w:top w:val="single" w:sz="4" w:space="0" w:color="auto"/>
              <w:left w:val="nil"/>
              <w:bottom w:val="nil"/>
              <w:right w:val="nil"/>
            </w:tcBorders>
            <w:shd w:val="clear" w:color="auto" w:fill="auto"/>
            <w:hideMark/>
          </w:tcPr>
          <w:p w14:paraId="076EA42B"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-0 </w:t>
            </w:r>
          </w:p>
        </w:tc>
        <w:tc>
          <w:tcPr>
            <w:tcW w:w="1180" w:type="dxa"/>
            <w:tcBorders>
              <w:top w:val="single" w:sz="4" w:space="0" w:color="auto"/>
              <w:left w:val="nil"/>
              <w:bottom w:val="nil"/>
              <w:right w:val="nil"/>
            </w:tcBorders>
            <w:shd w:val="clear" w:color="auto" w:fill="auto"/>
            <w:hideMark/>
          </w:tcPr>
          <w:p w14:paraId="3A9CC1CA"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1,422 </w:t>
            </w:r>
          </w:p>
        </w:tc>
        <w:tc>
          <w:tcPr>
            <w:tcW w:w="1140" w:type="dxa"/>
            <w:tcBorders>
              <w:top w:val="single" w:sz="4" w:space="0" w:color="auto"/>
              <w:left w:val="nil"/>
              <w:right w:val="nil"/>
            </w:tcBorders>
            <w:shd w:val="clear" w:color="auto" w:fill="auto"/>
            <w:hideMark/>
          </w:tcPr>
          <w:p w14:paraId="2AC336C1"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1,209 </w:t>
            </w:r>
          </w:p>
        </w:tc>
      </w:tr>
    </w:tbl>
    <w:p w14:paraId="0E0C6008" w14:textId="77777777" w:rsidR="00980AE0" w:rsidRPr="00611F1A" w:rsidRDefault="00980AE0" w:rsidP="00223FC8">
      <w:pPr>
        <w:rPr>
          <w:b/>
          <w:sz w:val="32"/>
          <w:szCs w:val="32"/>
        </w:rPr>
      </w:pPr>
    </w:p>
    <w:p w14:paraId="0BFFEADC" w14:textId="47FD12BC" w:rsidR="00F150DB" w:rsidRDefault="00F150DB"/>
    <w:p w14:paraId="1889D4FF" w14:textId="05B097B9" w:rsidR="00FA3784" w:rsidRDefault="00FA3784" w:rsidP="00FA3784">
      <w:pPr>
        <w:jc w:val="left"/>
        <w:outlineLvl w:val="0"/>
        <w:rPr>
          <w:sz w:val="24"/>
          <w:szCs w:val="24"/>
        </w:rPr>
      </w:pPr>
    </w:p>
    <w:p w14:paraId="62B94A57" w14:textId="16E97D9B" w:rsidR="00FA3784" w:rsidRDefault="00FA3784" w:rsidP="00FA3784">
      <w:pPr>
        <w:jc w:val="left"/>
        <w:outlineLvl w:val="0"/>
        <w:rPr>
          <w:sz w:val="24"/>
          <w:szCs w:val="24"/>
        </w:rPr>
      </w:pPr>
    </w:p>
    <w:p w14:paraId="16846E8A" w14:textId="77777777" w:rsidR="00FA3B27" w:rsidRPr="00E33107" w:rsidRDefault="00FA3B27" w:rsidP="00FA3784">
      <w:pPr>
        <w:jc w:val="left"/>
        <w:outlineLvl w:val="0"/>
        <w:rPr>
          <w:sz w:val="24"/>
          <w:szCs w:val="24"/>
        </w:rPr>
      </w:pPr>
    </w:p>
    <w:p w14:paraId="7ABCE69E" w14:textId="02E77CEF" w:rsidR="00FA3784" w:rsidRPr="00656AD3" w:rsidRDefault="00FA3784" w:rsidP="00FA3784">
      <w:pPr>
        <w:jc w:val="center"/>
        <w:outlineLvl w:val="0"/>
        <w:rPr>
          <w:sz w:val="24"/>
          <w:szCs w:val="24"/>
        </w:rPr>
      </w:pPr>
      <w:r w:rsidRPr="00E33107">
        <w:rPr>
          <w:sz w:val="24"/>
          <w:szCs w:val="24"/>
        </w:rPr>
        <w:t xml:space="preserve">Table </w:t>
      </w:r>
      <w:r>
        <w:rPr>
          <w:sz w:val="24"/>
          <w:szCs w:val="24"/>
        </w:rPr>
        <w:t>A</w:t>
      </w:r>
    </w:p>
    <w:p w14:paraId="3BE82D24" w14:textId="77777777" w:rsidR="00FA3784" w:rsidRPr="00656AD3" w:rsidRDefault="00FA3784" w:rsidP="00FA3784"/>
    <w:tbl>
      <w:tblPr>
        <w:tblW w:w="7440" w:type="dxa"/>
        <w:tblLook w:val="04A0" w:firstRow="1" w:lastRow="0" w:firstColumn="1" w:lastColumn="0" w:noHBand="0" w:noVBand="1"/>
      </w:tblPr>
      <w:tblGrid>
        <w:gridCol w:w="2840"/>
        <w:gridCol w:w="1244"/>
        <w:gridCol w:w="1244"/>
        <w:gridCol w:w="1244"/>
        <w:gridCol w:w="1244"/>
      </w:tblGrid>
      <w:tr w:rsidR="00FA3B27" w:rsidRPr="00FA3B27" w14:paraId="0C067BD4" w14:textId="77777777" w:rsidTr="00FA3B27">
        <w:trPr>
          <w:trHeight w:val="300"/>
        </w:trPr>
        <w:tc>
          <w:tcPr>
            <w:tcW w:w="2840" w:type="dxa"/>
            <w:tcBorders>
              <w:top w:val="nil"/>
              <w:left w:val="nil"/>
              <w:bottom w:val="nil"/>
              <w:right w:val="nil"/>
            </w:tcBorders>
            <w:shd w:val="clear" w:color="auto" w:fill="auto"/>
            <w:hideMark/>
          </w:tcPr>
          <w:p w14:paraId="4A316DB6" w14:textId="77777777" w:rsidR="00FA3B27" w:rsidRPr="00FA3B27" w:rsidRDefault="00FA3B27" w:rsidP="00FA3B27">
            <w:pPr>
              <w:jc w:val="left"/>
              <w:rPr>
                <w:rFonts w:ascii="Times New Roman" w:hAnsi="Times New Roman"/>
                <w:sz w:val="20"/>
                <w:szCs w:val="20"/>
              </w:rPr>
            </w:pPr>
          </w:p>
        </w:tc>
        <w:tc>
          <w:tcPr>
            <w:tcW w:w="1120" w:type="dxa"/>
            <w:tcBorders>
              <w:top w:val="nil"/>
              <w:left w:val="nil"/>
              <w:bottom w:val="nil"/>
              <w:right w:val="nil"/>
            </w:tcBorders>
            <w:shd w:val="clear" w:color="auto" w:fill="auto"/>
            <w:hideMark/>
          </w:tcPr>
          <w:p w14:paraId="654ACD7C" w14:textId="77777777" w:rsidR="00FA3B27" w:rsidRPr="00FA3B27" w:rsidRDefault="00FA3B27" w:rsidP="00FA3B27">
            <w:pPr>
              <w:jc w:val="center"/>
              <w:rPr>
                <w:rFonts w:cs="Arial"/>
                <w:color w:val="000000"/>
                <w:sz w:val="24"/>
                <w:szCs w:val="24"/>
              </w:rPr>
            </w:pPr>
            <w:r w:rsidRPr="00FA3B27">
              <w:rPr>
                <w:rFonts w:cs="Arial"/>
                <w:color w:val="000000"/>
                <w:sz w:val="24"/>
                <w:szCs w:val="24"/>
              </w:rPr>
              <w:t>2020/21</w:t>
            </w:r>
          </w:p>
        </w:tc>
        <w:tc>
          <w:tcPr>
            <w:tcW w:w="1160" w:type="dxa"/>
            <w:tcBorders>
              <w:top w:val="nil"/>
              <w:left w:val="nil"/>
              <w:bottom w:val="nil"/>
              <w:right w:val="nil"/>
            </w:tcBorders>
            <w:shd w:val="clear" w:color="auto" w:fill="auto"/>
            <w:hideMark/>
          </w:tcPr>
          <w:p w14:paraId="01B9FD3F" w14:textId="77777777" w:rsidR="00FA3B27" w:rsidRPr="00FA3B27" w:rsidRDefault="00FA3B27" w:rsidP="00FA3B27">
            <w:pPr>
              <w:jc w:val="center"/>
              <w:rPr>
                <w:rFonts w:cs="Arial"/>
                <w:color w:val="000000"/>
                <w:sz w:val="24"/>
                <w:szCs w:val="24"/>
              </w:rPr>
            </w:pPr>
            <w:r w:rsidRPr="00FA3B27">
              <w:rPr>
                <w:rFonts w:cs="Arial"/>
                <w:color w:val="000000"/>
                <w:sz w:val="24"/>
                <w:szCs w:val="24"/>
              </w:rPr>
              <w:t>2021/22</w:t>
            </w:r>
          </w:p>
        </w:tc>
        <w:tc>
          <w:tcPr>
            <w:tcW w:w="1180" w:type="dxa"/>
            <w:tcBorders>
              <w:top w:val="nil"/>
              <w:left w:val="nil"/>
              <w:bottom w:val="nil"/>
              <w:right w:val="nil"/>
            </w:tcBorders>
            <w:shd w:val="clear" w:color="auto" w:fill="auto"/>
            <w:hideMark/>
          </w:tcPr>
          <w:p w14:paraId="5734FC47" w14:textId="77777777" w:rsidR="00FA3B27" w:rsidRPr="00FA3B27" w:rsidRDefault="00FA3B27" w:rsidP="00FA3B27">
            <w:pPr>
              <w:jc w:val="center"/>
              <w:rPr>
                <w:rFonts w:cs="Arial"/>
                <w:color w:val="000000"/>
                <w:sz w:val="24"/>
                <w:szCs w:val="24"/>
              </w:rPr>
            </w:pPr>
            <w:r w:rsidRPr="00FA3B27">
              <w:rPr>
                <w:rFonts w:cs="Arial"/>
                <w:color w:val="000000"/>
                <w:sz w:val="24"/>
                <w:szCs w:val="24"/>
              </w:rPr>
              <w:t>2022/23</w:t>
            </w:r>
          </w:p>
        </w:tc>
        <w:tc>
          <w:tcPr>
            <w:tcW w:w="1140" w:type="dxa"/>
            <w:tcBorders>
              <w:top w:val="nil"/>
              <w:left w:val="nil"/>
              <w:bottom w:val="nil"/>
              <w:right w:val="nil"/>
            </w:tcBorders>
            <w:shd w:val="clear" w:color="auto" w:fill="auto"/>
            <w:hideMark/>
          </w:tcPr>
          <w:p w14:paraId="26BF17F3" w14:textId="77777777" w:rsidR="00FA3B27" w:rsidRPr="00FA3B27" w:rsidRDefault="00FA3B27" w:rsidP="00FA3B27">
            <w:pPr>
              <w:jc w:val="center"/>
              <w:rPr>
                <w:rFonts w:cs="Arial"/>
                <w:color w:val="000000"/>
                <w:sz w:val="24"/>
                <w:szCs w:val="24"/>
              </w:rPr>
            </w:pPr>
            <w:r w:rsidRPr="00FA3B27">
              <w:rPr>
                <w:rFonts w:cs="Arial"/>
                <w:color w:val="000000"/>
                <w:sz w:val="24"/>
                <w:szCs w:val="24"/>
              </w:rPr>
              <w:t>2023/24</w:t>
            </w:r>
          </w:p>
        </w:tc>
      </w:tr>
      <w:tr w:rsidR="00FA3B27" w:rsidRPr="00FA3B27" w14:paraId="5FC209D4" w14:textId="77777777" w:rsidTr="00FA3B27">
        <w:trPr>
          <w:trHeight w:val="900"/>
        </w:trPr>
        <w:tc>
          <w:tcPr>
            <w:tcW w:w="2840" w:type="dxa"/>
            <w:tcBorders>
              <w:top w:val="nil"/>
              <w:left w:val="nil"/>
              <w:bottom w:val="nil"/>
              <w:right w:val="nil"/>
            </w:tcBorders>
            <w:shd w:val="clear" w:color="auto" w:fill="auto"/>
            <w:hideMark/>
          </w:tcPr>
          <w:p w14:paraId="6FC9307B" w14:textId="77777777" w:rsidR="00FA3B27" w:rsidRPr="00FA3B27" w:rsidRDefault="00FA3B27" w:rsidP="00FA3B27">
            <w:pPr>
              <w:jc w:val="center"/>
              <w:rPr>
                <w:rFonts w:cs="Arial"/>
                <w:color w:val="000000"/>
                <w:sz w:val="24"/>
                <w:szCs w:val="24"/>
              </w:rPr>
            </w:pPr>
          </w:p>
        </w:tc>
        <w:tc>
          <w:tcPr>
            <w:tcW w:w="1120" w:type="dxa"/>
            <w:tcBorders>
              <w:top w:val="nil"/>
              <w:left w:val="nil"/>
              <w:bottom w:val="nil"/>
              <w:right w:val="nil"/>
            </w:tcBorders>
            <w:shd w:val="clear" w:color="auto" w:fill="auto"/>
            <w:hideMark/>
          </w:tcPr>
          <w:p w14:paraId="1455CEEE" w14:textId="77777777" w:rsidR="00FA3B27" w:rsidRPr="00FA3B27" w:rsidRDefault="00FA3B27" w:rsidP="00FA3B27">
            <w:pPr>
              <w:jc w:val="center"/>
              <w:rPr>
                <w:rFonts w:cs="Arial"/>
                <w:color w:val="000000"/>
                <w:sz w:val="24"/>
                <w:szCs w:val="24"/>
              </w:rPr>
            </w:pPr>
            <w:r w:rsidRPr="00FA3B27">
              <w:rPr>
                <w:rFonts w:cs="Arial"/>
                <w:color w:val="000000"/>
                <w:sz w:val="24"/>
                <w:szCs w:val="24"/>
              </w:rPr>
              <w:t>Latest Approved Budget</w:t>
            </w:r>
          </w:p>
        </w:tc>
        <w:tc>
          <w:tcPr>
            <w:tcW w:w="1160" w:type="dxa"/>
            <w:tcBorders>
              <w:top w:val="nil"/>
              <w:left w:val="nil"/>
              <w:bottom w:val="nil"/>
              <w:right w:val="nil"/>
            </w:tcBorders>
            <w:shd w:val="clear" w:color="auto" w:fill="auto"/>
            <w:hideMark/>
          </w:tcPr>
          <w:p w14:paraId="3AF037D5" w14:textId="77777777" w:rsidR="00FA3B27" w:rsidRPr="00FA3B27" w:rsidRDefault="00FA3B27" w:rsidP="00FA3B27">
            <w:pPr>
              <w:jc w:val="center"/>
              <w:rPr>
                <w:rFonts w:cs="Arial"/>
                <w:color w:val="000000"/>
                <w:sz w:val="24"/>
                <w:szCs w:val="24"/>
              </w:rPr>
            </w:pPr>
            <w:r w:rsidRPr="00FA3B27">
              <w:rPr>
                <w:rFonts w:cs="Arial"/>
                <w:color w:val="000000"/>
                <w:sz w:val="24"/>
                <w:szCs w:val="24"/>
              </w:rPr>
              <w:t>Proposed Budget</w:t>
            </w:r>
          </w:p>
        </w:tc>
        <w:tc>
          <w:tcPr>
            <w:tcW w:w="1180" w:type="dxa"/>
            <w:tcBorders>
              <w:top w:val="nil"/>
              <w:left w:val="nil"/>
              <w:bottom w:val="nil"/>
              <w:right w:val="nil"/>
            </w:tcBorders>
            <w:shd w:val="clear" w:color="auto" w:fill="auto"/>
            <w:hideMark/>
          </w:tcPr>
          <w:p w14:paraId="2C9AC923" w14:textId="77777777" w:rsidR="00FA3B27" w:rsidRPr="00FA3B27" w:rsidRDefault="00FA3B27" w:rsidP="00FA3B27">
            <w:pPr>
              <w:jc w:val="center"/>
              <w:rPr>
                <w:rFonts w:cs="Arial"/>
                <w:color w:val="000000"/>
                <w:sz w:val="24"/>
                <w:szCs w:val="24"/>
              </w:rPr>
            </w:pPr>
            <w:r w:rsidRPr="00FA3B27">
              <w:rPr>
                <w:rFonts w:cs="Arial"/>
                <w:color w:val="000000"/>
                <w:sz w:val="24"/>
                <w:szCs w:val="24"/>
              </w:rPr>
              <w:t>Proposed Budget</w:t>
            </w:r>
          </w:p>
        </w:tc>
        <w:tc>
          <w:tcPr>
            <w:tcW w:w="1140" w:type="dxa"/>
            <w:tcBorders>
              <w:top w:val="nil"/>
              <w:left w:val="nil"/>
              <w:bottom w:val="nil"/>
              <w:right w:val="nil"/>
            </w:tcBorders>
            <w:shd w:val="clear" w:color="auto" w:fill="auto"/>
            <w:hideMark/>
          </w:tcPr>
          <w:p w14:paraId="492306A0" w14:textId="77777777" w:rsidR="00FA3B27" w:rsidRPr="00FA3B27" w:rsidRDefault="00FA3B27" w:rsidP="00FA3B27">
            <w:pPr>
              <w:jc w:val="center"/>
              <w:rPr>
                <w:rFonts w:cs="Arial"/>
                <w:color w:val="000000"/>
                <w:sz w:val="24"/>
                <w:szCs w:val="24"/>
              </w:rPr>
            </w:pPr>
            <w:r w:rsidRPr="00FA3B27">
              <w:rPr>
                <w:rFonts w:cs="Arial"/>
                <w:color w:val="000000"/>
                <w:sz w:val="24"/>
                <w:szCs w:val="24"/>
              </w:rPr>
              <w:t>Proposed Budget</w:t>
            </w:r>
          </w:p>
        </w:tc>
      </w:tr>
      <w:tr w:rsidR="00FA3B27" w:rsidRPr="00FA3B27" w14:paraId="7C33B9A8" w14:textId="77777777" w:rsidTr="00FA3B27">
        <w:trPr>
          <w:trHeight w:val="300"/>
        </w:trPr>
        <w:tc>
          <w:tcPr>
            <w:tcW w:w="2840" w:type="dxa"/>
            <w:tcBorders>
              <w:top w:val="nil"/>
              <w:left w:val="nil"/>
              <w:bottom w:val="nil"/>
              <w:right w:val="nil"/>
            </w:tcBorders>
            <w:shd w:val="clear" w:color="auto" w:fill="auto"/>
            <w:hideMark/>
          </w:tcPr>
          <w:p w14:paraId="320004D3" w14:textId="77777777" w:rsidR="00FA3B27" w:rsidRPr="00FA3B27" w:rsidRDefault="00FA3B27" w:rsidP="00FA3B27">
            <w:pPr>
              <w:jc w:val="center"/>
              <w:rPr>
                <w:rFonts w:cs="Arial"/>
                <w:color w:val="000000"/>
                <w:sz w:val="24"/>
                <w:szCs w:val="24"/>
              </w:rPr>
            </w:pPr>
          </w:p>
        </w:tc>
        <w:tc>
          <w:tcPr>
            <w:tcW w:w="1120" w:type="dxa"/>
            <w:tcBorders>
              <w:top w:val="nil"/>
              <w:left w:val="nil"/>
              <w:bottom w:val="single" w:sz="4" w:space="0" w:color="auto"/>
              <w:right w:val="nil"/>
            </w:tcBorders>
            <w:shd w:val="clear" w:color="auto" w:fill="auto"/>
            <w:hideMark/>
          </w:tcPr>
          <w:p w14:paraId="45C5E154" w14:textId="77777777" w:rsidR="00FA3B27" w:rsidRPr="00FA3B27" w:rsidRDefault="00FA3B27" w:rsidP="00FA3B27">
            <w:pPr>
              <w:jc w:val="center"/>
              <w:rPr>
                <w:rFonts w:cs="Arial"/>
                <w:color w:val="000000"/>
                <w:sz w:val="24"/>
                <w:szCs w:val="24"/>
              </w:rPr>
            </w:pPr>
            <w:r w:rsidRPr="00FA3B27">
              <w:rPr>
                <w:rFonts w:cs="Arial"/>
                <w:color w:val="000000"/>
                <w:sz w:val="24"/>
                <w:szCs w:val="24"/>
              </w:rPr>
              <w:t>£000</w:t>
            </w:r>
          </w:p>
        </w:tc>
        <w:tc>
          <w:tcPr>
            <w:tcW w:w="1160" w:type="dxa"/>
            <w:tcBorders>
              <w:top w:val="nil"/>
              <w:left w:val="nil"/>
              <w:bottom w:val="single" w:sz="4" w:space="0" w:color="auto"/>
              <w:right w:val="nil"/>
            </w:tcBorders>
            <w:shd w:val="clear" w:color="auto" w:fill="auto"/>
            <w:hideMark/>
          </w:tcPr>
          <w:p w14:paraId="536222B7" w14:textId="77777777" w:rsidR="00FA3B27" w:rsidRPr="00FA3B27" w:rsidRDefault="00FA3B27" w:rsidP="00FA3B27">
            <w:pPr>
              <w:jc w:val="center"/>
              <w:rPr>
                <w:rFonts w:cs="Arial"/>
                <w:color w:val="000000"/>
                <w:sz w:val="24"/>
                <w:szCs w:val="24"/>
              </w:rPr>
            </w:pPr>
            <w:r w:rsidRPr="00FA3B27">
              <w:rPr>
                <w:rFonts w:cs="Arial"/>
                <w:color w:val="000000"/>
                <w:sz w:val="24"/>
                <w:szCs w:val="24"/>
              </w:rPr>
              <w:t>£000</w:t>
            </w:r>
          </w:p>
        </w:tc>
        <w:tc>
          <w:tcPr>
            <w:tcW w:w="1180" w:type="dxa"/>
            <w:tcBorders>
              <w:top w:val="nil"/>
              <w:left w:val="nil"/>
              <w:bottom w:val="single" w:sz="4" w:space="0" w:color="auto"/>
              <w:right w:val="nil"/>
            </w:tcBorders>
            <w:shd w:val="clear" w:color="auto" w:fill="auto"/>
            <w:hideMark/>
          </w:tcPr>
          <w:p w14:paraId="76DAA017" w14:textId="77777777" w:rsidR="00FA3B27" w:rsidRPr="00FA3B27" w:rsidRDefault="00FA3B27" w:rsidP="00FA3B27">
            <w:pPr>
              <w:jc w:val="center"/>
              <w:rPr>
                <w:rFonts w:cs="Arial"/>
                <w:color w:val="000000"/>
                <w:sz w:val="24"/>
                <w:szCs w:val="24"/>
              </w:rPr>
            </w:pPr>
            <w:r w:rsidRPr="00FA3B27">
              <w:rPr>
                <w:rFonts w:cs="Arial"/>
                <w:color w:val="000000"/>
                <w:sz w:val="24"/>
                <w:szCs w:val="24"/>
              </w:rPr>
              <w:t>£000</w:t>
            </w:r>
          </w:p>
        </w:tc>
        <w:tc>
          <w:tcPr>
            <w:tcW w:w="1140" w:type="dxa"/>
            <w:tcBorders>
              <w:top w:val="nil"/>
              <w:left w:val="nil"/>
              <w:bottom w:val="single" w:sz="4" w:space="0" w:color="auto"/>
              <w:right w:val="nil"/>
            </w:tcBorders>
            <w:shd w:val="clear" w:color="auto" w:fill="auto"/>
            <w:hideMark/>
          </w:tcPr>
          <w:p w14:paraId="3C3C9BD9" w14:textId="77777777" w:rsidR="00FA3B27" w:rsidRPr="00FA3B27" w:rsidRDefault="00FA3B27" w:rsidP="00FA3B27">
            <w:pPr>
              <w:jc w:val="center"/>
              <w:rPr>
                <w:rFonts w:cs="Arial"/>
                <w:color w:val="000000"/>
                <w:sz w:val="24"/>
                <w:szCs w:val="24"/>
              </w:rPr>
            </w:pPr>
            <w:r w:rsidRPr="00FA3B27">
              <w:rPr>
                <w:rFonts w:cs="Arial"/>
                <w:color w:val="000000"/>
                <w:sz w:val="24"/>
                <w:szCs w:val="24"/>
              </w:rPr>
              <w:t>£000</w:t>
            </w:r>
          </w:p>
        </w:tc>
      </w:tr>
      <w:tr w:rsidR="00FA3B27" w:rsidRPr="00FA3B27" w14:paraId="0E90857F" w14:textId="77777777" w:rsidTr="00FA3B27">
        <w:trPr>
          <w:trHeight w:val="600"/>
        </w:trPr>
        <w:tc>
          <w:tcPr>
            <w:tcW w:w="2840" w:type="dxa"/>
            <w:tcBorders>
              <w:top w:val="nil"/>
              <w:left w:val="nil"/>
              <w:bottom w:val="nil"/>
              <w:right w:val="nil"/>
            </w:tcBorders>
            <w:shd w:val="clear" w:color="auto" w:fill="auto"/>
            <w:hideMark/>
          </w:tcPr>
          <w:p w14:paraId="67665C76" w14:textId="77777777" w:rsidR="00FA3B27" w:rsidRPr="00FA3B27" w:rsidRDefault="00FA3B27" w:rsidP="00FA3B27">
            <w:pPr>
              <w:jc w:val="left"/>
              <w:rPr>
                <w:rFonts w:cs="Arial"/>
                <w:color w:val="000000"/>
                <w:sz w:val="24"/>
                <w:szCs w:val="24"/>
              </w:rPr>
            </w:pPr>
            <w:r w:rsidRPr="00FA3B27">
              <w:rPr>
                <w:rFonts w:cs="Arial"/>
                <w:color w:val="000000"/>
                <w:sz w:val="24"/>
                <w:szCs w:val="24"/>
              </w:rPr>
              <w:t>Revenue Contribution to Capital</w:t>
            </w:r>
          </w:p>
        </w:tc>
        <w:tc>
          <w:tcPr>
            <w:tcW w:w="1120" w:type="dxa"/>
            <w:tcBorders>
              <w:top w:val="nil"/>
              <w:left w:val="nil"/>
              <w:bottom w:val="nil"/>
              <w:right w:val="nil"/>
            </w:tcBorders>
            <w:shd w:val="clear" w:color="auto" w:fill="auto"/>
            <w:hideMark/>
          </w:tcPr>
          <w:p w14:paraId="5CF61393"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2,009 </w:t>
            </w:r>
          </w:p>
        </w:tc>
        <w:tc>
          <w:tcPr>
            <w:tcW w:w="1160" w:type="dxa"/>
            <w:tcBorders>
              <w:top w:val="nil"/>
              <w:left w:val="nil"/>
              <w:bottom w:val="nil"/>
              <w:right w:val="nil"/>
            </w:tcBorders>
            <w:shd w:val="clear" w:color="auto" w:fill="auto"/>
            <w:hideMark/>
          </w:tcPr>
          <w:p w14:paraId="6759E024"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2,115 </w:t>
            </w:r>
          </w:p>
        </w:tc>
        <w:tc>
          <w:tcPr>
            <w:tcW w:w="1180" w:type="dxa"/>
            <w:tcBorders>
              <w:top w:val="nil"/>
              <w:left w:val="nil"/>
              <w:bottom w:val="nil"/>
              <w:right w:val="nil"/>
            </w:tcBorders>
            <w:shd w:val="clear" w:color="auto" w:fill="auto"/>
            <w:hideMark/>
          </w:tcPr>
          <w:p w14:paraId="7DF8BAF0"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2,440 </w:t>
            </w:r>
          </w:p>
        </w:tc>
        <w:tc>
          <w:tcPr>
            <w:tcW w:w="1140" w:type="dxa"/>
            <w:tcBorders>
              <w:top w:val="nil"/>
              <w:left w:val="nil"/>
              <w:bottom w:val="nil"/>
              <w:right w:val="nil"/>
            </w:tcBorders>
            <w:shd w:val="clear" w:color="auto" w:fill="auto"/>
            <w:hideMark/>
          </w:tcPr>
          <w:p w14:paraId="4A287EAD"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2,310 </w:t>
            </w:r>
          </w:p>
        </w:tc>
      </w:tr>
      <w:tr w:rsidR="00FA3B27" w:rsidRPr="00FA3B27" w14:paraId="39E7B69B" w14:textId="77777777" w:rsidTr="00FA3B27">
        <w:trPr>
          <w:trHeight w:val="408"/>
        </w:trPr>
        <w:tc>
          <w:tcPr>
            <w:tcW w:w="2840" w:type="dxa"/>
            <w:tcBorders>
              <w:top w:val="nil"/>
              <w:left w:val="nil"/>
              <w:bottom w:val="nil"/>
              <w:right w:val="nil"/>
            </w:tcBorders>
            <w:shd w:val="clear" w:color="auto" w:fill="auto"/>
            <w:hideMark/>
          </w:tcPr>
          <w:p w14:paraId="595E1A06" w14:textId="77777777" w:rsidR="00FA3B27" w:rsidRPr="00FA3B27" w:rsidRDefault="00FA3B27" w:rsidP="00FA3B27">
            <w:pPr>
              <w:jc w:val="left"/>
              <w:rPr>
                <w:rFonts w:cs="Arial"/>
                <w:color w:val="000000"/>
                <w:sz w:val="24"/>
                <w:szCs w:val="24"/>
              </w:rPr>
            </w:pPr>
            <w:r w:rsidRPr="00FA3B27">
              <w:rPr>
                <w:rFonts w:cs="Arial"/>
                <w:color w:val="000000"/>
                <w:sz w:val="24"/>
                <w:szCs w:val="24"/>
              </w:rPr>
              <w:t>Loan repayment set aside</w:t>
            </w:r>
          </w:p>
        </w:tc>
        <w:tc>
          <w:tcPr>
            <w:tcW w:w="1120" w:type="dxa"/>
            <w:tcBorders>
              <w:top w:val="nil"/>
              <w:left w:val="nil"/>
              <w:bottom w:val="nil"/>
              <w:right w:val="nil"/>
            </w:tcBorders>
            <w:shd w:val="clear" w:color="auto" w:fill="auto"/>
            <w:hideMark/>
          </w:tcPr>
          <w:p w14:paraId="0A193D90"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4,051 </w:t>
            </w:r>
          </w:p>
        </w:tc>
        <w:tc>
          <w:tcPr>
            <w:tcW w:w="1160" w:type="dxa"/>
            <w:tcBorders>
              <w:top w:val="nil"/>
              <w:left w:val="nil"/>
              <w:bottom w:val="nil"/>
              <w:right w:val="nil"/>
            </w:tcBorders>
            <w:shd w:val="clear" w:color="auto" w:fill="auto"/>
            <w:hideMark/>
          </w:tcPr>
          <w:p w14:paraId="055B6793"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3,587 </w:t>
            </w:r>
          </w:p>
        </w:tc>
        <w:tc>
          <w:tcPr>
            <w:tcW w:w="1180" w:type="dxa"/>
            <w:tcBorders>
              <w:top w:val="nil"/>
              <w:left w:val="nil"/>
              <w:bottom w:val="nil"/>
              <w:right w:val="nil"/>
            </w:tcBorders>
            <w:shd w:val="clear" w:color="auto" w:fill="auto"/>
            <w:hideMark/>
          </w:tcPr>
          <w:p w14:paraId="1EA136F7"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4,455 </w:t>
            </w:r>
          </w:p>
        </w:tc>
        <w:tc>
          <w:tcPr>
            <w:tcW w:w="1140" w:type="dxa"/>
            <w:tcBorders>
              <w:top w:val="nil"/>
              <w:left w:val="nil"/>
              <w:bottom w:val="nil"/>
              <w:right w:val="nil"/>
            </w:tcBorders>
            <w:shd w:val="clear" w:color="auto" w:fill="auto"/>
            <w:hideMark/>
          </w:tcPr>
          <w:p w14:paraId="29C65CED"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4,455 </w:t>
            </w:r>
          </w:p>
        </w:tc>
      </w:tr>
      <w:tr w:rsidR="00FA3B27" w:rsidRPr="00FA3B27" w14:paraId="4651F8B4" w14:textId="77777777" w:rsidTr="00FA3B27">
        <w:trPr>
          <w:trHeight w:val="996"/>
        </w:trPr>
        <w:tc>
          <w:tcPr>
            <w:tcW w:w="2840" w:type="dxa"/>
            <w:tcBorders>
              <w:top w:val="nil"/>
              <w:left w:val="nil"/>
              <w:bottom w:val="nil"/>
              <w:right w:val="nil"/>
            </w:tcBorders>
            <w:shd w:val="clear" w:color="auto" w:fill="auto"/>
            <w:hideMark/>
          </w:tcPr>
          <w:p w14:paraId="09552F3B" w14:textId="77777777" w:rsidR="00FA3B27" w:rsidRPr="00FA3B27" w:rsidRDefault="00FA3B27" w:rsidP="00FA3B27">
            <w:pPr>
              <w:jc w:val="left"/>
              <w:rPr>
                <w:rFonts w:cs="Arial"/>
                <w:color w:val="000000"/>
                <w:sz w:val="24"/>
                <w:szCs w:val="24"/>
              </w:rPr>
            </w:pPr>
            <w:r w:rsidRPr="00FA3B27">
              <w:rPr>
                <w:rFonts w:cs="Arial"/>
                <w:color w:val="000000"/>
                <w:sz w:val="24"/>
                <w:szCs w:val="24"/>
              </w:rPr>
              <w:t>Proportion of outstanding loan interest and debt management costs</w:t>
            </w:r>
          </w:p>
        </w:tc>
        <w:tc>
          <w:tcPr>
            <w:tcW w:w="1120" w:type="dxa"/>
            <w:tcBorders>
              <w:top w:val="nil"/>
              <w:left w:val="nil"/>
              <w:bottom w:val="nil"/>
              <w:right w:val="nil"/>
            </w:tcBorders>
            <w:shd w:val="clear" w:color="auto" w:fill="auto"/>
            <w:hideMark/>
          </w:tcPr>
          <w:p w14:paraId="24019286"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2,417 </w:t>
            </w:r>
          </w:p>
        </w:tc>
        <w:tc>
          <w:tcPr>
            <w:tcW w:w="1160" w:type="dxa"/>
            <w:tcBorders>
              <w:top w:val="nil"/>
              <w:left w:val="nil"/>
              <w:bottom w:val="nil"/>
              <w:right w:val="nil"/>
            </w:tcBorders>
            <w:shd w:val="clear" w:color="auto" w:fill="auto"/>
            <w:hideMark/>
          </w:tcPr>
          <w:p w14:paraId="6B5ED8F9"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2,444 </w:t>
            </w:r>
          </w:p>
        </w:tc>
        <w:tc>
          <w:tcPr>
            <w:tcW w:w="1180" w:type="dxa"/>
            <w:tcBorders>
              <w:top w:val="nil"/>
              <w:left w:val="nil"/>
              <w:bottom w:val="nil"/>
              <w:right w:val="nil"/>
            </w:tcBorders>
            <w:shd w:val="clear" w:color="auto" w:fill="auto"/>
            <w:hideMark/>
          </w:tcPr>
          <w:p w14:paraId="30B6AE70"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2,743 </w:t>
            </w:r>
          </w:p>
        </w:tc>
        <w:tc>
          <w:tcPr>
            <w:tcW w:w="1140" w:type="dxa"/>
            <w:tcBorders>
              <w:top w:val="nil"/>
              <w:left w:val="nil"/>
              <w:bottom w:val="nil"/>
              <w:right w:val="nil"/>
            </w:tcBorders>
            <w:shd w:val="clear" w:color="auto" w:fill="auto"/>
            <w:hideMark/>
          </w:tcPr>
          <w:p w14:paraId="6B4EBA67"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2,753 </w:t>
            </w:r>
          </w:p>
        </w:tc>
      </w:tr>
      <w:tr w:rsidR="00FA3B27" w:rsidRPr="00FA3B27" w14:paraId="001C0E66" w14:textId="77777777" w:rsidTr="00FA3B27">
        <w:trPr>
          <w:trHeight w:val="600"/>
        </w:trPr>
        <w:tc>
          <w:tcPr>
            <w:tcW w:w="2840" w:type="dxa"/>
            <w:tcBorders>
              <w:top w:val="nil"/>
              <w:left w:val="nil"/>
              <w:bottom w:val="nil"/>
              <w:right w:val="nil"/>
            </w:tcBorders>
            <w:shd w:val="clear" w:color="auto" w:fill="auto"/>
            <w:hideMark/>
          </w:tcPr>
          <w:p w14:paraId="51BEF1D3" w14:textId="77777777" w:rsidR="00FA3B27" w:rsidRPr="00FA3B27" w:rsidRDefault="00FA3B27" w:rsidP="00FA3B27">
            <w:pPr>
              <w:jc w:val="left"/>
              <w:rPr>
                <w:rFonts w:cs="Arial"/>
                <w:color w:val="000000"/>
                <w:sz w:val="24"/>
                <w:szCs w:val="24"/>
              </w:rPr>
            </w:pPr>
            <w:r w:rsidRPr="00FA3B27">
              <w:rPr>
                <w:rFonts w:cs="Arial"/>
                <w:color w:val="000000"/>
                <w:sz w:val="24"/>
                <w:szCs w:val="24"/>
              </w:rPr>
              <w:t>Provision for bad and doubtful debt</w:t>
            </w:r>
          </w:p>
        </w:tc>
        <w:tc>
          <w:tcPr>
            <w:tcW w:w="1120" w:type="dxa"/>
            <w:tcBorders>
              <w:top w:val="nil"/>
              <w:left w:val="nil"/>
              <w:bottom w:val="nil"/>
              <w:right w:val="nil"/>
            </w:tcBorders>
            <w:shd w:val="clear" w:color="auto" w:fill="auto"/>
            <w:hideMark/>
          </w:tcPr>
          <w:p w14:paraId="254FFCBA"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500 </w:t>
            </w:r>
          </w:p>
        </w:tc>
        <w:tc>
          <w:tcPr>
            <w:tcW w:w="1160" w:type="dxa"/>
            <w:tcBorders>
              <w:top w:val="nil"/>
              <w:left w:val="nil"/>
              <w:bottom w:val="nil"/>
              <w:right w:val="nil"/>
            </w:tcBorders>
            <w:shd w:val="clear" w:color="auto" w:fill="auto"/>
            <w:hideMark/>
          </w:tcPr>
          <w:p w14:paraId="089F3395"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500 </w:t>
            </w:r>
          </w:p>
        </w:tc>
        <w:tc>
          <w:tcPr>
            <w:tcW w:w="1180" w:type="dxa"/>
            <w:tcBorders>
              <w:top w:val="nil"/>
              <w:left w:val="nil"/>
              <w:bottom w:val="nil"/>
              <w:right w:val="nil"/>
            </w:tcBorders>
            <w:shd w:val="clear" w:color="auto" w:fill="auto"/>
            <w:hideMark/>
          </w:tcPr>
          <w:p w14:paraId="5E8A7D98"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500 </w:t>
            </w:r>
          </w:p>
        </w:tc>
        <w:tc>
          <w:tcPr>
            <w:tcW w:w="1140" w:type="dxa"/>
            <w:tcBorders>
              <w:top w:val="nil"/>
              <w:left w:val="nil"/>
              <w:bottom w:val="nil"/>
              <w:right w:val="nil"/>
            </w:tcBorders>
            <w:shd w:val="clear" w:color="auto" w:fill="auto"/>
            <w:hideMark/>
          </w:tcPr>
          <w:p w14:paraId="02011F57"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500 </w:t>
            </w:r>
          </w:p>
        </w:tc>
      </w:tr>
      <w:tr w:rsidR="00FA3B27" w:rsidRPr="00FA3B27" w14:paraId="18965A44" w14:textId="77777777" w:rsidTr="00FA3B27">
        <w:trPr>
          <w:trHeight w:val="900"/>
        </w:trPr>
        <w:tc>
          <w:tcPr>
            <w:tcW w:w="2840" w:type="dxa"/>
            <w:tcBorders>
              <w:top w:val="nil"/>
              <w:left w:val="nil"/>
              <w:bottom w:val="nil"/>
              <w:right w:val="nil"/>
            </w:tcBorders>
            <w:shd w:val="clear" w:color="auto" w:fill="auto"/>
            <w:hideMark/>
          </w:tcPr>
          <w:p w14:paraId="4F60FE9A" w14:textId="77777777" w:rsidR="00FA3B27" w:rsidRPr="00FA3B27" w:rsidRDefault="00FA3B27" w:rsidP="00FA3B27">
            <w:pPr>
              <w:jc w:val="left"/>
              <w:rPr>
                <w:rFonts w:cs="Arial"/>
                <w:color w:val="000000"/>
                <w:sz w:val="24"/>
                <w:szCs w:val="24"/>
              </w:rPr>
            </w:pPr>
            <w:r w:rsidRPr="00FA3B27">
              <w:rPr>
                <w:rFonts w:cs="Arial"/>
                <w:color w:val="000000"/>
                <w:sz w:val="24"/>
                <w:szCs w:val="24"/>
              </w:rPr>
              <w:t>Depreciation on housing stock and operational buildings</w:t>
            </w:r>
          </w:p>
        </w:tc>
        <w:tc>
          <w:tcPr>
            <w:tcW w:w="1120" w:type="dxa"/>
            <w:tcBorders>
              <w:top w:val="nil"/>
              <w:left w:val="nil"/>
              <w:bottom w:val="nil"/>
              <w:right w:val="nil"/>
            </w:tcBorders>
            <w:shd w:val="clear" w:color="auto" w:fill="auto"/>
            <w:hideMark/>
          </w:tcPr>
          <w:p w14:paraId="5714367A"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4,775 </w:t>
            </w:r>
          </w:p>
        </w:tc>
        <w:tc>
          <w:tcPr>
            <w:tcW w:w="1160" w:type="dxa"/>
            <w:tcBorders>
              <w:top w:val="nil"/>
              <w:left w:val="nil"/>
              <w:bottom w:val="nil"/>
              <w:right w:val="nil"/>
            </w:tcBorders>
            <w:shd w:val="clear" w:color="auto" w:fill="auto"/>
            <w:hideMark/>
          </w:tcPr>
          <w:p w14:paraId="3D7ABC6A"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5,102 </w:t>
            </w:r>
          </w:p>
        </w:tc>
        <w:tc>
          <w:tcPr>
            <w:tcW w:w="1180" w:type="dxa"/>
            <w:tcBorders>
              <w:top w:val="nil"/>
              <w:left w:val="nil"/>
              <w:bottom w:val="nil"/>
              <w:right w:val="nil"/>
            </w:tcBorders>
            <w:shd w:val="clear" w:color="auto" w:fill="auto"/>
            <w:hideMark/>
          </w:tcPr>
          <w:p w14:paraId="289AFD09"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5,232 </w:t>
            </w:r>
          </w:p>
        </w:tc>
        <w:tc>
          <w:tcPr>
            <w:tcW w:w="1140" w:type="dxa"/>
            <w:tcBorders>
              <w:top w:val="nil"/>
              <w:left w:val="nil"/>
              <w:bottom w:val="nil"/>
              <w:right w:val="nil"/>
            </w:tcBorders>
            <w:shd w:val="clear" w:color="auto" w:fill="auto"/>
            <w:hideMark/>
          </w:tcPr>
          <w:p w14:paraId="5CEA0388"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5,362 </w:t>
            </w:r>
          </w:p>
        </w:tc>
      </w:tr>
      <w:tr w:rsidR="00FA3B27" w:rsidRPr="00FA3B27" w14:paraId="15BB90ED" w14:textId="77777777" w:rsidTr="00FA3B27">
        <w:trPr>
          <w:trHeight w:val="300"/>
        </w:trPr>
        <w:tc>
          <w:tcPr>
            <w:tcW w:w="2840" w:type="dxa"/>
            <w:tcBorders>
              <w:top w:val="nil"/>
              <w:left w:val="nil"/>
              <w:bottom w:val="nil"/>
              <w:right w:val="nil"/>
            </w:tcBorders>
            <w:shd w:val="clear" w:color="auto" w:fill="auto"/>
            <w:noWrap/>
            <w:hideMark/>
          </w:tcPr>
          <w:p w14:paraId="5B119EB8" w14:textId="77777777" w:rsidR="00FA3B27" w:rsidRPr="00FA3B27" w:rsidRDefault="00FA3B27" w:rsidP="00FA3B27">
            <w:pPr>
              <w:jc w:val="center"/>
              <w:rPr>
                <w:rFonts w:cs="Arial"/>
                <w:color w:val="000000"/>
                <w:sz w:val="24"/>
                <w:szCs w:val="24"/>
              </w:rPr>
            </w:pPr>
          </w:p>
        </w:tc>
        <w:tc>
          <w:tcPr>
            <w:tcW w:w="1120" w:type="dxa"/>
            <w:tcBorders>
              <w:top w:val="nil"/>
              <w:left w:val="nil"/>
              <w:bottom w:val="single" w:sz="4" w:space="0" w:color="auto"/>
              <w:right w:val="nil"/>
            </w:tcBorders>
            <w:shd w:val="clear" w:color="auto" w:fill="auto"/>
            <w:noWrap/>
            <w:hideMark/>
          </w:tcPr>
          <w:p w14:paraId="4E02E5A4" w14:textId="77777777" w:rsidR="00FA3B27" w:rsidRPr="00FA3B27" w:rsidRDefault="00FA3B27" w:rsidP="00FA3B27">
            <w:pPr>
              <w:jc w:val="center"/>
              <w:rPr>
                <w:rFonts w:cs="Arial"/>
                <w:color w:val="000000"/>
                <w:sz w:val="20"/>
                <w:szCs w:val="20"/>
              </w:rPr>
            </w:pPr>
            <w:r w:rsidRPr="00FA3B27">
              <w:rPr>
                <w:rFonts w:cs="Arial"/>
                <w:color w:val="000000"/>
                <w:sz w:val="20"/>
                <w:szCs w:val="20"/>
              </w:rPr>
              <w:t> </w:t>
            </w:r>
          </w:p>
        </w:tc>
        <w:tc>
          <w:tcPr>
            <w:tcW w:w="1160" w:type="dxa"/>
            <w:tcBorders>
              <w:top w:val="nil"/>
              <w:left w:val="nil"/>
              <w:bottom w:val="single" w:sz="4" w:space="0" w:color="auto"/>
              <w:right w:val="nil"/>
            </w:tcBorders>
            <w:shd w:val="clear" w:color="auto" w:fill="auto"/>
            <w:noWrap/>
            <w:hideMark/>
          </w:tcPr>
          <w:p w14:paraId="60309486" w14:textId="77777777" w:rsidR="00FA3B27" w:rsidRPr="00FA3B27" w:rsidRDefault="00FA3B27" w:rsidP="00FA3B27">
            <w:pPr>
              <w:jc w:val="center"/>
              <w:rPr>
                <w:rFonts w:cs="Arial"/>
                <w:color w:val="000000"/>
                <w:sz w:val="20"/>
                <w:szCs w:val="20"/>
              </w:rPr>
            </w:pPr>
            <w:r w:rsidRPr="00FA3B27">
              <w:rPr>
                <w:rFonts w:cs="Arial"/>
                <w:color w:val="000000"/>
                <w:sz w:val="20"/>
                <w:szCs w:val="20"/>
              </w:rPr>
              <w:t> </w:t>
            </w:r>
          </w:p>
        </w:tc>
        <w:tc>
          <w:tcPr>
            <w:tcW w:w="1180" w:type="dxa"/>
            <w:tcBorders>
              <w:top w:val="nil"/>
              <w:left w:val="nil"/>
              <w:bottom w:val="single" w:sz="4" w:space="0" w:color="auto"/>
              <w:right w:val="nil"/>
            </w:tcBorders>
            <w:shd w:val="clear" w:color="auto" w:fill="auto"/>
            <w:noWrap/>
            <w:hideMark/>
          </w:tcPr>
          <w:p w14:paraId="42BED19D" w14:textId="77777777" w:rsidR="00FA3B27" w:rsidRPr="00FA3B27" w:rsidRDefault="00FA3B27" w:rsidP="00FA3B27">
            <w:pPr>
              <w:jc w:val="center"/>
              <w:rPr>
                <w:rFonts w:cs="Arial"/>
                <w:color w:val="000000"/>
                <w:sz w:val="20"/>
                <w:szCs w:val="20"/>
              </w:rPr>
            </w:pPr>
            <w:r w:rsidRPr="00FA3B27">
              <w:rPr>
                <w:rFonts w:cs="Arial"/>
                <w:color w:val="000000"/>
                <w:sz w:val="20"/>
                <w:szCs w:val="20"/>
              </w:rPr>
              <w:t> </w:t>
            </w:r>
          </w:p>
        </w:tc>
        <w:tc>
          <w:tcPr>
            <w:tcW w:w="1140" w:type="dxa"/>
            <w:tcBorders>
              <w:top w:val="nil"/>
              <w:left w:val="nil"/>
              <w:bottom w:val="single" w:sz="4" w:space="0" w:color="auto"/>
              <w:right w:val="nil"/>
            </w:tcBorders>
            <w:shd w:val="clear" w:color="auto" w:fill="auto"/>
            <w:noWrap/>
            <w:hideMark/>
          </w:tcPr>
          <w:p w14:paraId="2D7C5452" w14:textId="77777777" w:rsidR="00FA3B27" w:rsidRPr="00FA3B27" w:rsidRDefault="00FA3B27" w:rsidP="00FA3B27">
            <w:pPr>
              <w:jc w:val="center"/>
              <w:rPr>
                <w:rFonts w:cs="Arial"/>
                <w:color w:val="000000"/>
                <w:sz w:val="20"/>
                <w:szCs w:val="20"/>
              </w:rPr>
            </w:pPr>
            <w:r w:rsidRPr="00FA3B27">
              <w:rPr>
                <w:rFonts w:cs="Arial"/>
                <w:color w:val="000000"/>
                <w:sz w:val="20"/>
                <w:szCs w:val="20"/>
              </w:rPr>
              <w:t> </w:t>
            </w:r>
          </w:p>
        </w:tc>
      </w:tr>
      <w:tr w:rsidR="00FA3B27" w:rsidRPr="00FA3B27" w14:paraId="786EC82A" w14:textId="77777777" w:rsidTr="00FA3B27">
        <w:trPr>
          <w:trHeight w:val="300"/>
        </w:trPr>
        <w:tc>
          <w:tcPr>
            <w:tcW w:w="2840" w:type="dxa"/>
            <w:tcBorders>
              <w:top w:val="nil"/>
              <w:left w:val="nil"/>
              <w:bottom w:val="nil"/>
              <w:right w:val="nil"/>
            </w:tcBorders>
            <w:shd w:val="clear" w:color="auto" w:fill="auto"/>
            <w:noWrap/>
            <w:hideMark/>
          </w:tcPr>
          <w:p w14:paraId="57B3A458" w14:textId="77777777" w:rsidR="00FA3B27" w:rsidRPr="00FA3B27" w:rsidRDefault="00FA3B27" w:rsidP="00FA3B27">
            <w:pPr>
              <w:jc w:val="left"/>
              <w:rPr>
                <w:rFonts w:cs="Arial"/>
                <w:color w:val="000000"/>
                <w:sz w:val="24"/>
                <w:szCs w:val="24"/>
              </w:rPr>
            </w:pPr>
            <w:r w:rsidRPr="00FA3B27">
              <w:rPr>
                <w:rFonts w:cs="Arial"/>
                <w:color w:val="000000"/>
                <w:sz w:val="24"/>
                <w:szCs w:val="24"/>
              </w:rPr>
              <w:t>Total</w:t>
            </w:r>
          </w:p>
        </w:tc>
        <w:tc>
          <w:tcPr>
            <w:tcW w:w="1120" w:type="dxa"/>
            <w:tcBorders>
              <w:top w:val="nil"/>
              <w:left w:val="nil"/>
              <w:bottom w:val="nil"/>
              <w:right w:val="nil"/>
            </w:tcBorders>
            <w:shd w:val="clear" w:color="auto" w:fill="auto"/>
            <w:hideMark/>
          </w:tcPr>
          <w:p w14:paraId="21B4B26A"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13,752 </w:t>
            </w:r>
          </w:p>
        </w:tc>
        <w:tc>
          <w:tcPr>
            <w:tcW w:w="1160" w:type="dxa"/>
            <w:tcBorders>
              <w:top w:val="nil"/>
              <w:left w:val="nil"/>
              <w:bottom w:val="nil"/>
              <w:right w:val="nil"/>
            </w:tcBorders>
            <w:shd w:val="clear" w:color="auto" w:fill="auto"/>
            <w:hideMark/>
          </w:tcPr>
          <w:p w14:paraId="2C2D5C4F"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13,748 </w:t>
            </w:r>
          </w:p>
        </w:tc>
        <w:tc>
          <w:tcPr>
            <w:tcW w:w="1180" w:type="dxa"/>
            <w:tcBorders>
              <w:top w:val="nil"/>
              <w:left w:val="nil"/>
              <w:bottom w:val="nil"/>
              <w:right w:val="nil"/>
            </w:tcBorders>
            <w:shd w:val="clear" w:color="auto" w:fill="auto"/>
            <w:hideMark/>
          </w:tcPr>
          <w:p w14:paraId="633B0755"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15,370 </w:t>
            </w:r>
          </w:p>
        </w:tc>
        <w:tc>
          <w:tcPr>
            <w:tcW w:w="1140" w:type="dxa"/>
            <w:tcBorders>
              <w:top w:val="nil"/>
              <w:left w:val="nil"/>
              <w:bottom w:val="nil"/>
              <w:right w:val="nil"/>
            </w:tcBorders>
            <w:shd w:val="clear" w:color="auto" w:fill="auto"/>
            <w:hideMark/>
          </w:tcPr>
          <w:p w14:paraId="6A953067" w14:textId="77777777" w:rsidR="00FA3B27" w:rsidRPr="00FA3B27" w:rsidRDefault="00FA3B27" w:rsidP="00FA3B27">
            <w:pPr>
              <w:jc w:val="center"/>
              <w:rPr>
                <w:rFonts w:cs="Arial"/>
                <w:color w:val="000000"/>
                <w:sz w:val="24"/>
                <w:szCs w:val="24"/>
              </w:rPr>
            </w:pPr>
            <w:r w:rsidRPr="00FA3B27">
              <w:rPr>
                <w:rFonts w:cs="Arial"/>
                <w:color w:val="000000"/>
                <w:sz w:val="24"/>
                <w:szCs w:val="24"/>
              </w:rPr>
              <w:t xml:space="preserve">15,379 </w:t>
            </w:r>
          </w:p>
        </w:tc>
      </w:tr>
    </w:tbl>
    <w:p w14:paraId="52C4A27E" w14:textId="5C9AA0B3" w:rsidR="00692568" w:rsidRDefault="00692568"/>
    <w:p w14:paraId="3313E691" w14:textId="75307697" w:rsidR="00692568" w:rsidRDefault="00692568"/>
    <w:p w14:paraId="5F426641" w14:textId="1159BEEE" w:rsidR="00692568" w:rsidRDefault="00692568"/>
    <w:p w14:paraId="54A65B01" w14:textId="77777777" w:rsidR="00755F99" w:rsidRDefault="00755F99">
      <w:pPr>
        <w:jc w:val="left"/>
        <w:rPr>
          <w:b/>
          <w:sz w:val="32"/>
          <w:szCs w:val="32"/>
        </w:rPr>
      </w:pPr>
      <w:r>
        <w:rPr>
          <w:b/>
          <w:sz w:val="32"/>
          <w:szCs w:val="32"/>
        </w:rPr>
        <w:br w:type="page"/>
      </w:r>
    </w:p>
    <w:p w14:paraId="53842D96" w14:textId="77B0CC9B" w:rsidR="00692568" w:rsidRDefault="00692568" w:rsidP="00692568">
      <w:pPr>
        <w:rPr>
          <w:b/>
          <w:sz w:val="32"/>
          <w:szCs w:val="32"/>
        </w:rPr>
      </w:pPr>
      <w:r w:rsidRPr="00537DC3">
        <w:rPr>
          <w:b/>
          <w:sz w:val="32"/>
          <w:szCs w:val="32"/>
        </w:rPr>
        <w:lastRenderedPageBreak/>
        <w:t>Ap</w:t>
      </w:r>
      <w:r w:rsidRPr="00D53DE6">
        <w:rPr>
          <w:b/>
          <w:sz w:val="32"/>
          <w:szCs w:val="32"/>
        </w:rPr>
        <w:t xml:space="preserve">pendix </w:t>
      </w:r>
      <w:r w:rsidR="003B0BE7">
        <w:rPr>
          <w:b/>
          <w:sz w:val="32"/>
          <w:szCs w:val="32"/>
        </w:rPr>
        <w:t>4</w:t>
      </w:r>
    </w:p>
    <w:p w14:paraId="66269BCE" w14:textId="723417DB" w:rsidR="00692568" w:rsidRDefault="00692568"/>
    <w:tbl>
      <w:tblPr>
        <w:tblW w:w="8700" w:type="dxa"/>
        <w:tblLook w:val="04A0" w:firstRow="1" w:lastRow="0" w:firstColumn="1" w:lastColumn="0" w:noHBand="0" w:noVBand="1"/>
      </w:tblPr>
      <w:tblGrid>
        <w:gridCol w:w="4560"/>
        <w:gridCol w:w="1380"/>
        <w:gridCol w:w="1380"/>
        <w:gridCol w:w="1380"/>
      </w:tblGrid>
      <w:tr w:rsidR="00230364" w:rsidRPr="00230364" w14:paraId="3EA11EAE" w14:textId="77777777" w:rsidTr="00230364">
        <w:trPr>
          <w:trHeight w:val="630"/>
        </w:trPr>
        <w:tc>
          <w:tcPr>
            <w:tcW w:w="8700" w:type="dxa"/>
            <w:gridSpan w:val="4"/>
            <w:tcBorders>
              <w:top w:val="nil"/>
              <w:left w:val="nil"/>
              <w:bottom w:val="single" w:sz="4" w:space="0" w:color="auto"/>
              <w:right w:val="nil"/>
            </w:tcBorders>
            <w:shd w:val="clear" w:color="auto" w:fill="auto"/>
            <w:hideMark/>
          </w:tcPr>
          <w:p w14:paraId="7C2550FE" w14:textId="77777777" w:rsidR="00230364" w:rsidRPr="00230364" w:rsidRDefault="00230364" w:rsidP="00230364">
            <w:pPr>
              <w:jc w:val="left"/>
              <w:rPr>
                <w:rFonts w:cs="Arial"/>
                <w:b/>
                <w:bCs/>
                <w:color w:val="000000"/>
                <w:sz w:val="24"/>
                <w:szCs w:val="24"/>
              </w:rPr>
            </w:pPr>
            <w:r w:rsidRPr="00230364">
              <w:rPr>
                <w:rFonts w:cs="Arial"/>
                <w:b/>
                <w:bCs/>
                <w:color w:val="000000"/>
                <w:sz w:val="24"/>
                <w:szCs w:val="24"/>
              </w:rPr>
              <w:t>GENERAL FUND Capital Programme 2020/2021 to 2023/2024</w:t>
            </w:r>
          </w:p>
        </w:tc>
      </w:tr>
      <w:tr w:rsidR="00230364" w:rsidRPr="00230364" w14:paraId="76572F90" w14:textId="77777777" w:rsidTr="00230364">
        <w:trPr>
          <w:trHeight w:val="312"/>
        </w:trPr>
        <w:tc>
          <w:tcPr>
            <w:tcW w:w="4560" w:type="dxa"/>
            <w:tcBorders>
              <w:top w:val="nil"/>
              <w:left w:val="nil"/>
              <w:bottom w:val="nil"/>
              <w:right w:val="nil"/>
            </w:tcBorders>
            <w:shd w:val="clear" w:color="auto" w:fill="auto"/>
            <w:hideMark/>
          </w:tcPr>
          <w:p w14:paraId="4622BD2C" w14:textId="77777777" w:rsidR="00230364" w:rsidRPr="00230364" w:rsidRDefault="00230364" w:rsidP="00230364">
            <w:pPr>
              <w:jc w:val="left"/>
              <w:rPr>
                <w:rFonts w:cs="Arial"/>
                <w:color w:val="000000"/>
                <w:sz w:val="24"/>
                <w:szCs w:val="24"/>
              </w:rPr>
            </w:pPr>
            <w:r w:rsidRPr="00230364">
              <w:rPr>
                <w:rFonts w:cs="Arial"/>
                <w:color w:val="000000"/>
                <w:sz w:val="24"/>
                <w:szCs w:val="24"/>
              </w:rPr>
              <w:t> </w:t>
            </w:r>
          </w:p>
        </w:tc>
        <w:tc>
          <w:tcPr>
            <w:tcW w:w="1380" w:type="dxa"/>
            <w:tcBorders>
              <w:top w:val="nil"/>
              <w:left w:val="nil"/>
              <w:bottom w:val="nil"/>
              <w:right w:val="nil"/>
            </w:tcBorders>
            <w:shd w:val="clear" w:color="auto" w:fill="auto"/>
            <w:hideMark/>
          </w:tcPr>
          <w:p w14:paraId="3DC01128"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2021/22</w:t>
            </w:r>
          </w:p>
        </w:tc>
        <w:tc>
          <w:tcPr>
            <w:tcW w:w="1380" w:type="dxa"/>
            <w:tcBorders>
              <w:top w:val="nil"/>
              <w:left w:val="nil"/>
              <w:bottom w:val="nil"/>
              <w:right w:val="nil"/>
            </w:tcBorders>
            <w:shd w:val="clear" w:color="auto" w:fill="auto"/>
            <w:hideMark/>
          </w:tcPr>
          <w:p w14:paraId="0C5F1303"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2022/23</w:t>
            </w:r>
          </w:p>
        </w:tc>
        <w:tc>
          <w:tcPr>
            <w:tcW w:w="1380" w:type="dxa"/>
            <w:tcBorders>
              <w:top w:val="nil"/>
              <w:left w:val="nil"/>
              <w:bottom w:val="nil"/>
              <w:right w:val="nil"/>
            </w:tcBorders>
            <w:shd w:val="clear" w:color="auto" w:fill="auto"/>
            <w:hideMark/>
          </w:tcPr>
          <w:p w14:paraId="366907A6" w14:textId="5007A95A" w:rsidR="00230364" w:rsidRPr="00230364" w:rsidRDefault="00230364" w:rsidP="00230364">
            <w:pPr>
              <w:jc w:val="center"/>
              <w:rPr>
                <w:rFonts w:cs="Arial"/>
                <w:b/>
                <w:bCs/>
                <w:color w:val="000000"/>
                <w:sz w:val="24"/>
                <w:szCs w:val="24"/>
              </w:rPr>
            </w:pPr>
            <w:r w:rsidRPr="00230364">
              <w:rPr>
                <w:rFonts w:cs="Arial"/>
                <w:b/>
                <w:bCs/>
                <w:color w:val="000000"/>
                <w:sz w:val="24"/>
                <w:szCs w:val="24"/>
              </w:rPr>
              <w:t>2023/24</w:t>
            </w:r>
          </w:p>
        </w:tc>
      </w:tr>
      <w:tr w:rsidR="00230364" w:rsidRPr="00230364" w14:paraId="7AA73F59" w14:textId="77777777" w:rsidTr="00230364">
        <w:trPr>
          <w:trHeight w:val="300"/>
        </w:trPr>
        <w:tc>
          <w:tcPr>
            <w:tcW w:w="4560" w:type="dxa"/>
            <w:tcBorders>
              <w:top w:val="nil"/>
              <w:left w:val="nil"/>
              <w:bottom w:val="single" w:sz="4" w:space="0" w:color="auto"/>
              <w:right w:val="nil"/>
            </w:tcBorders>
            <w:shd w:val="clear" w:color="auto" w:fill="auto"/>
            <w:hideMark/>
          </w:tcPr>
          <w:p w14:paraId="09C8935D" w14:textId="77777777" w:rsidR="00230364" w:rsidRPr="00230364" w:rsidRDefault="00230364" w:rsidP="00230364">
            <w:pPr>
              <w:jc w:val="left"/>
              <w:rPr>
                <w:rFonts w:cs="Arial"/>
                <w:color w:val="000000"/>
                <w:sz w:val="24"/>
                <w:szCs w:val="24"/>
              </w:rPr>
            </w:pPr>
            <w:r w:rsidRPr="00230364">
              <w:rPr>
                <w:rFonts w:cs="Arial"/>
                <w:color w:val="000000"/>
                <w:sz w:val="24"/>
                <w:szCs w:val="24"/>
              </w:rPr>
              <w:t> </w:t>
            </w:r>
          </w:p>
        </w:tc>
        <w:tc>
          <w:tcPr>
            <w:tcW w:w="1380" w:type="dxa"/>
            <w:tcBorders>
              <w:top w:val="nil"/>
              <w:left w:val="nil"/>
              <w:bottom w:val="single" w:sz="4" w:space="0" w:color="auto"/>
              <w:right w:val="nil"/>
            </w:tcBorders>
            <w:shd w:val="clear" w:color="auto" w:fill="auto"/>
            <w:hideMark/>
          </w:tcPr>
          <w:p w14:paraId="6ECA0790" w14:textId="77777777" w:rsidR="00230364" w:rsidRPr="00230364" w:rsidRDefault="00230364" w:rsidP="00230364">
            <w:pPr>
              <w:jc w:val="center"/>
              <w:rPr>
                <w:rFonts w:cs="Arial"/>
                <w:color w:val="000000"/>
                <w:sz w:val="24"/>
                <w:szCs w:val="24"/>
              </w:rPr>
            </w:pPr>
            <w:r w:rsidRPr="00230364">
              <w:rPr>
                <w:rFonts w:cs="Arial"/>
                <w:color w:val="000000"/>
                <w:sz w:val="24"/>
                <w:szCs w:val="24"/>
              </w:rPr>
              <w:t>£000</w:t>
            </w:r>
          </w:p>
        </w:tc>
        <w:tc>
          <w:tcPr>
            <w:tcW w:w="1380" w:type="dxa"/>
            <w:tcBorders>
              <w:top w:val="nil"/>
              <w:left w:val="nil"/>
              <w:bottom w:val="single" w:sz="4" w:space="0" w:color="auto"/>
              <w:right w:val="nil"/>
            </w:tcBorders>
            <w:shd w:val="clear" w:color="auto" w:fill="auto"/>
            <w:hideMark/>
          </w:tcPr>
          <w:p w14:paraId="579102AB" w14:textId="77777777" w:rsidR="00230364" w:rsidRPr="00230364" w:rsidRDefault="00230364" w:rsidP="00230364">
            <w:pPr>
              <w:jc w:val="center"/>
              <w:rPr>
                <w:rFonts w:cs="Arial"/>
                <w:color w:val="000000"/>
                <w:sz w:val="24"/>
                <w:szCs w:val="24"/>
              </w:rPr>
            </w:pPr>
            <w:r w:rsidRPr="00230364">
              <w:rPr>
                <w:rFonts w:cs="Arial"/>
                <w:color w:val="000000"/>
                <w:sz w:val="24"/>
                <w:szCs w:val="24"/>
              </w:rPr>
              <w:t>£000</w:t>
            </w:r>
          </w:p>
        </w:tc>
        <w:tc>
          <w:tcPr>
            <w:tcW w:w="1380" w:type="dxa"/>
            <w:tcBorders>
              <w:top w:val="nil"/>
              <w:left w:val="nil"/>
              <w:bottom w:val="single" w:sz="4" w:space="0" w:color="auto"/>
              <w:right w:val="nil"/>
            </w:tcBorders>
            <w:shd w:val="clear" w:color="auto" w:fill="auto"/>
            <w:hideMark/>
          </w:tcPr>
          <w:p w14:paraId="71202E90" w14:textId="77777777" w:rsidR="00230364" w:rsidRPr="00230364" w:rsidRDefault="00230364" w:rsidP="00230364">
            <w:pPr>
              <w:jc w:val="center"/>
              <w:rPr>
                <w:rFonts w:cs="Arial"/>
                <w:color w:val="000000"/>
                <w:sz w:val="24"/>
                <w:szCs w:val="24"/>
              </w:rPr>
            </w:pPr>
            <w:r w:rsidRPr="00230364">
              <w:rPr>
                <w:rFonts w:cs="Arial"/>
                <w:color w:val="000000"/>
                <w:sz w:val="24"/>
                <w:szCs w:val="24"/>
              </w:rPr>
              <w:t>£000</w:t>
            </w:r>
          </w:p>
        </w:tc>
      </w:tr>
      <w:tr w:rsidR="00230364" w:rsidRPr="00230364" w14:paraId="49FC5921" w14:textId="77777777" w:rsidTr="00230364">
        <w:trPr>
          <w:trHeight w:val="312"/>
        </w:trPr>
        <w:tc>
          <w:tcPr>
            <w:tcW w:w="4560" w:type="dxa"/>
            <w:tcBorders>
              <w:top w:val="nil"/>
              <w:left w:val="nil"/>
              <w:bottom w:val="nil"/>
              <w:right w:val="nil"/>
            </w:tcBorders>
            <w:shd w:val="clear" w:color="auto" w:fill="auto"/>
            <w:hideMark/>
          </w:tcPr>
          <w:p w14:paraId="7D362F0A" w14:textId="77777777" w:rsidR="00230364" w:rsidRPr="00230364" w:rsidRDefault="00230364" w:rsidP="00230364">
            <w:pPr>
              <w:jc w:val="left"/>
              <w:rPr>
                <w:rFonts w:cs="Arial"/>
                <w:b/>
                <w:bCs/>
                <w:color w:val="000000"/>
                <w:sz w:val="24"/>
                <w:szCs w:val="24"/>
              </w:rPr>
            </w:pPr>
            <w:r w:rsidRPr="00230364">
              <w:rPr>
                <w:rFonts w:cs="Arial"/>
                <w:b/>
                <w:bCs/>
                <w:color w:val="000000"/>
                <w:sz w:val="24"/>
                <w:szCs w:val="24"/>
              </w:rPr>
              <w:t>Head of Housing</w:t>
            </w:r>
          </w:p>
        </w:tc>
        <w:tc>
          <w:tcPr>
            <w:tcW w:w="1380" w:type="dxa"/>
            <w:tcBorders>
              <w:top w:val="nil"/>
              <w:left w:val="nil"/>
              <w:bottom w:val="nil"/>
              <w:right w:val="nil"/>
            </w:tcBorders>
            <w:shd w:val="clear" w:color="auto" w:fill="auto"/>
            <w:hideMark/>
          </w:tcPr>
          <w:p w14:paraId="22B7A0A0" w14:textId="77777777" w:rsidR="00230364" w:rsidRPr="00230364" w:rsidRDefault="00230364" w:rsidP="00230364">
            <w:pPr>
              <w:jc w:val="left"/>
              <w:rPr>
                <w:rFonts w:cs="Arial"/>
                <w:b/>
                <w:bCs/>
                <w:color w:val="000000"/>
                <w:sz w:val="24"/>
                <w:szCs w:val="24"/>
              </w:rPr>
            </w:pPr>
          </w:p>
        </w:tc>
        <w:tc>
          <w:tcPr>
            <w:tcW w:w="1380" w:type="dxa"/>
            <w:tcBorders>
              <w:top w:val="nil"/>
              <w:left w:val="nil"/>
              <w:bottom w:val="nil"/>
              <w:right w:val="nil"/>
            </w:tcBorders>
            <w:shd w:val="clear" w:color="auto" w:fill="auto"/>
            <w:hideMark/>
          </w:tcPr>
          <w:p w14:paraId="7999D5B1" w14:textId="77777777" w:rsidR="00230364" w:rsidRPr="00230364" w:rsidRDefault="00230364" w:rsidP="00230364">
            <w:pPr>
              <w:jc w:val="center"/>
              <w:rPr>
                <w:rFonts w:ascii="Times New Roman" w:hAnsi="Times New Roman"/>
                <w:sz w:val="20"/>
                <w:szCs w:val="20"/>
              </w:rPr>
            </w:pPr>
          </w:p>
        </w:tc>
        <w:tc>
          <w:tcPr>
            <w:tcW w:w="1380" w:type="dxa"/>
            <w:tcBorders>
              <w:top w:val="nil"/>
              <w:left w:val="nil"/>
              <w:bottom w:val="nil"/>
              <w:right w:val="nil"/>
            </w:tcBorders>
            <w:shd w:val="clear" w:color="auto" w:fill="auto"/>
            <w:hideMark/>
          </w:tcPr>
          <w:p w14:paraId="1DA7D0A7" w14:textId="77777777" w:rsidR="00230364" w:rsidRPr="00230364" w:rsidRDefault="00230364" w:rsidP="00230364">
            <w:pPr>
              <w:jc w:val="center"/>
              <w:rPr>
                <w:rFonts w:ascii="Times New Roman" w:hAnsi="Times New Roman"/>
                <w:sz w:val="20"/>
                <w:szCs w:val="20"/>
              </w:rPr>
            </w:pPr>
          </w:p>
        </w:tc>
      </w:tr>
      <w:tr w:rsidR="00230364" w:rsidRPr="00230364" w14:paraId="6AB0746F" w14:textId="77777777" w:rsidTr="00230364">
        <w:trPr>
          <w:trHeight w:val="300"/>
        </w:trPr>
        <w:tc>
          <w:tcPr>
            <w:tcW w:w="4560" w:type="dxa"/>
            <w:tcBorders>
              <w:top w:val="nil"/>
              <w:left w:val="nil"/>
              <w:bottom w:val="nil"/>
              <w:right w:val="nil"/>
            </w:tcBorders>
            <w:shd w:val="clear" w:color="auto" w:fill="auto"/>
            <w:hideMark/>
          </w:tcPr>
          <w:p w14:paraId="70F4253F" w14:textId="77777777" w:rsidR="00230364" w:rsidRPr="00230364" w:rsidRDefault="00230364" w:rsidP="00230364">
            <w:pPr>
              <w:jc w:val="left"/>
              <w:rPr>
                <w:rFonts w:cs="Arial"/>
                <w:color w:val="000000"/>
                <w:sz w:val="24"/>
                <w:szCs w:val="24"/>
              </w:rPr>
            </w:pPr>
            <w:r w:rsidRPr="00230364">
              <w:rPr>
                <w:rFonts w:cs="Arial"/>
                <w:color w:val="000000"/>
                <w:sz w:val="24"/>
                <w:szCs w:val="24"/>
              </w:rPr>
              <w:t>Disabled Facilities Grant</w:t>
            </w:r>
          </w:p>
        </w:tc>
        <w:tc>
          <w:tcPr>
            <w:tcW w:w="1380" w:type="dxa"/>
            <w:tcBorders>
              <w:top w:val="nil"/>
              <w:left w:val="nil"/>
              <w:bottom w:val="nil"/>
              <w:right w:val="nil"/>
            </w:tcBorders>
            <w:shd w:val="clear" w:color="auto" w:fill="auto"/>
            <w:hideMark/>
          </w:tcPr>
          <w:p w14:paraId="6145CF0E" w14:textId="77777777" w:rsidR="00230364" w:rsidRPr="00230364" w:rsidRDefault="00230364" w:rsidP="00230364">
            <w:pPr>
              <w:jc w:val="center"/>
              <w:rPr>
                <w:rFonts w:cs="Arial"/>
                <w:color w:val="000000"/>
                <w:sz w:val="24"/>
                <w:szCs w:val="24"/>
              </w:rPr>
            </w:pPr>
            <w:r w:rsidRPr="00230364">
              <w:rPr>
                <w:rFonts w:cs="Arial"/>
                <w:color w:val="000000"/>
                <w:sz w:val="24"/>
                <w:szCs w:val="24"/>
              </w:rPr>
              <w:t>620</w:t>
            </w:r>
          </w:p>
        </w:tc>
        <w:tc>
          <w:tcPr>
            <w:tcW w:w="1380" w:type="dxa"/>
            <w:tcBorders>
              <w:top w:val="nil"/>
              <w:left w:val="nil"/>
              <w:bottom w:val="nil"/>
              <w:right w:val="nil"/>
            </w:tcBorders>
            <w:shd w:val="clear" w:color="auto" w:fill="auto"/>
            <w:hideMark/>
          </w:tcPr>
          <w:p w14:paraId="4E253EF3" w14:textId="77777777" w:rsidR="00230364" w:rsidRPr="00230364" w:rsidRDefault="00230364" w:rsidP="00230364">
            <w:pPr>
              <w:jc w:val="center"/>
              <w:rPr>
                <w:rFonts w:cs="Arial"/>
                <w:color w:val="000000"/>
                <w:sz w:val="24"/>
                <w:szCs w:val="24"/>
              </w:rPr>
            </w:pPr>
            <w:r w:rsidRPr="00230364">
              <w:rPr>
                <w:rFonts w:cs="Arial"/>
                <w:color w:val="000000"/>
                <w:sz w:val="24"/>
                <w:szCs w:val="24"/>
              </w:rPr>
              <w:t>620</w:t>
            </w:r>
          </w:p>
        </w:tc>
        <w:tc>
          <w:tcPr>
            <w:tcW w:w="1380" w:type="dxa"/>
            <w:tcBorders>
              <w:top w:val="nil"/>
              <w:left w:val="nil"/>
              <w:bottom w:val="nil"/>
              <w:right w:val="nil"/>
            </w:tcBorders>
            <w:shd w:val="clear" w:color="auto" w:fill="auto"/>
            <w:hideMark/>
          </w:tcPr>
          <w:p w14:paraId="05ECDB94" w14:textId="77777777" w:rsidR="00230364" w:rsidRPr="00230364" w:rsidRDefault="00230364" w:rsidP="00230364">
            <w:pPr>
              <w:jc w:val="center"/>
              <w:rPr>
                <w:rFonts w:cs="Arial"/>
                <w:color w:val="000000"/>
                <w:sz w:val="24"/>
                <w:szCs w:val="24"/>
              </w:rPr>
            </w:pPr>
            <w:r w:rsidRPr="00230364">
              <w:rPr>
                <w:rFonts w:cs="Arial"/>
                <w:color w:val="000000"/>
                <w:sz w:val="24"/>
                <w:szCs w:val="24"/>
              </w:rPr>
              <w:t>620</w:t>
            </w:r>
          </w:p>
        </w:tc>
      </w:tr>
      <w:tr w:rsidR="00230364" w:rsidRPr="00230364" w14:paraId="13A4092B" w14:textId="77777777" w:rsidTr="00230364">
        <w:trPr>
          <w:trHeight w:val="300"/>
        </w:trPr>
        <w:tc>
          <w:tcPr>
            <w:tcW w:w="4560" w:type="dxa"/>
            <w:tcBorders>
              <w:top w:val="nil"/>
              <w:left w:val="nil"/>
              <w:bottom w:val="nil"/>
              <w:right w:val="nil"/>
            </w:tcBorders>
            <w:shd w:val="clear" w:color="auto" w:fill="auto"/>
            <w:hideMark/>
          </w:tcPr>
          <w:p w14:paraId="0E6FC4F5" w14:textId="77777777" w:rsidR="00230364" w:rsidRPr="00230364" w:rsidRDefault="00230364" w:rsidP="00230364">
            <w:pPr>
              <w:jc w:val="left"/>
              <w:rPr>
                <w:rFonts w:cs="Arial"/>
                <w:color w:val="000000"/>
                <w:sz w:val="24"/>
                <w:szCs w:val="24"/>
              </w:rPr>
            </w:pPr>
            <w:r w:rsidRPr="00230364">
              <w:rPr>
                <w:rFonts w:cs="Arial"/>
                <w:color w:val="000000"/>
                <w:sz w:val="24"/>
                <w:szCs w:val="24"/>
              </w:rPr>
              <w:t>Warm Homes Healthy People</w:t>
            </w:r>
          </w:p>
        </w:tc>
        <w:tc>
          <w:tcPr>
            <w:tcW w:w="1380" w:type="dxa"/>
            <w:tcBorders>
              <w:top w:val="nil"/>
              <w:left w:val="nil"/>
              <w:bottom w:val="nil"/>
              <w:right w:val="nil"/>
            </w:tcBorders>
            <w:shd w:val="clear" w:color="auto" w:fill="auto"/>
            <w:hideMark/>
          </w:tcPr>
          <w:p w14:paraId="70E39D6E" w14:textId="77777777" w:rsidR="00230364" w:rsidRPr="00230364" w:rsidRDefault="00230364" w:rsidP="00230364">
            <w:pPr>
              <w:jc w:val="center"/>
              <w:rPr>
                <w:rFonts w:cs="Arial"/>
                <w:color w:val="000000"/>
                <w:sz w:val="24"/>
                <w:szCs w:val="24"/>
              </w:rPr>
            </w:pPr>
            <w:r w:rsidRPr="00230364">
              <w:rPr>
                <w:rFonts w:cs="Arial"/>
                <w:color w:val="000000"/>
                <w:sz w:val="24"/>
                <w:szCs w:val="24"/>
              </w:rPr>
              <w:t>100</w:t>
            </w:r>
          </w:p>
        </w:tc>
        <w:tc>
          <w:tcPr>
            <w:tcW w:w="1380" w:type="dxa"/>
            <w:tcBorders>
              <w:top w:val="nil"/>
              <w:left w:val="nil"/>
              <w:bottom w:val="nil"/>
              <w:right w:val="nil"/>
            </w:tcBorders>
            <w:shd w:val="clear" w:color="auto" w:fill="auto"/>
            <w:hideMark/>
          </w:tcPr>
          <w:p w14:paraId="671B682A" w14:textId="77777777" w:rsidR="00230364" w:rsidRPr="00230364" w:rsidRDefault="00230364" w:rsidP="00230364">
            <w:pPr>
              <w:jc w:val="center"/>
              <w:rPr>
                <w:rFonts w:cs="Arial"/>
                <w:color w:val="000000"/>
                <w:sz w:val="24"/>
                <w:szCs w:val="24"/>
              </w:rPr>
            </w:pPr>
            <w:r w:rsidRPr="00230364">
              <w:rPr>
                <w:rFonts w:cs="Arial"/>
                <w:color w:val="000000"/>
                <w:sz w:val="24"/>
                <w:szCs w:val="24"/>
              </w:rPr>
              <w:t>100</w:t>
            </w:r>
          </w:p>
        </w:tc>
        <w:tc>
          <w:tcPr>
            <w:tcW w:w="1380" w:type="dxa"/>
            <w:tcBorders>
              <w:top w:val="nil"/>
              <w:left w:val="nil"/>
              <w:bottom w:val="nil"/>
              <w:right w:val="nil"/>
            </w:tcBorders>
            <w:shd w:val="clear" w:color="auto" w:fill="auto"/>
            <w:hideMark/>
          </w:tcPr>
          <w:p w14:paraId="2177FFFB" w14:textId="77777777" w:rsidR="00230364" w:rsidRPr="00230364" w:rsidRDefault="00230364" w:rsidP="00230364">
            <w:pPr>
              <w:jc w:val="center"/>
              <w:rPr>
                <w:rFonts w:cs="Arial"/>
                <w:color w:val="000000"/>
                <w:sz w:val="24"/>
                <w:szCs w:val="24"/>
              </w:rPr>
            </w:pPr>
            <w:r w:rsidRPr="00230364">
              <w:rPr>
                <w:rFonts w:cs="Arial"/>
                <w:color w:val="000000"/>
                <w:sz w:val="24"/>
                <w:szCs w:val="24"/>
              </w:rPr>
              <w:t>100</w:t>
            </w:r>
          </w:p>
        </w:tc>
      </w:tr>
      <w:tr w:rsidR="00230364" w:rsidRPr="00230364" w14:paraId="2397A69D" w14:textId="77777777" w:rsidTr="00230364">
        <w:trPr>
          <w:trHeight w:val="300"/>
        </w:trPr>
        <w:tc>
          <w:tcPr>
            <w:tcW w:w="4560" w:type="dxa"/>
            <w:tcBorders>
              <w:top w:val="nil"/>
              <w:left w:val="nil"/>
              <w:bottom w:val="nil"/>
              <w:right w:val="nil"/>
            </w:tcBorders>
            <w:shd w:val="clear" w:color="auto" w:fill="auto"/>
            <w:hideMark/>
          </w:tcPr>
          <w:p w14:paraId="170066F4" w14:textId="77777777" w:rsidR="00230364" w:rsidRPr="00230364" w:rsidRDefault="00230364" w:rsidP="00230364">
            <w:pPr>
              <w:jc w:val="left"/>
              <w:rPr>
                <w:rFonts w:cs="Arial"/>
                <w:color w:val="000000"/>
                <w:sz w:val="24"/>
                <w:szCs w:val="24"/>
              </w:rPr>
            </w:pPr>
            <w:r w:rsidRPr="00230364">
              <w:rPr>
                <w:rFonts w:cs="Arial"/>
                <w:color w:val="000000"/>
                <w:sz w:val="24"/>
                <w:szCs w:val="24"/>
              </w:rPr>
              <w:t>Discretionary Assistance</w:t>
            </w:r>
          </w:p>
        </w:tc>
        <w:tc>
          <w:tcPr>
            <w:tcW w:w="1380" w:type="dxa"/>
            <w:tcBorders>
              <w:top w:val="nil"/>
              <w:left w:val="nil"/>
              <w:bottom w:val="single" w:sz="4" w:space="0" w:color="auto"/>
              <w:right w:val="nil"/>
            </w:tcBorders>
            <w:shd w:val="clear" w:color="auto" w:fill="auto"/>
            <w:hideMark/>
          </w:tcPr>
          <w:p w14:paraId="057A5831" w14:textId="77777777" w:rsidR="00230364" w:rsidRPr="00230364" w:rsidRDefault="00230364" w:rsidP="00230364">
            <w:pPr>
              <w:jc w:val="center"/>
              <w:rPr>
                <w:rFonts w:cs="Arial"/>
                <w:color w:val="000000"/>
                <w:sz w:val="24"/>
                <w:szCs w:val="24"/>
              </w:rPr>
            </w:pPr>
            <w:r w:rsidRPr="00230364">
              <w:rPr>
                <w:rFonts w:cs="Arial"/>
                <w:color w:val="000000"/>
                <w:sz w:val="24"/>
                <w:szCs w:val="24"/>
              </w:rPr>
              <w:t>285</w:t>
            </w:r>
          </w:p>
        </w:tc>
        <w:tc>
          <w:tcPr>
            <w:tcW w:w="1380" w:type="dxa"/>
            <w:tcBorders>
              <w:top w:val="nil"/>
              <w:left w:val="nil"/>
              <w:bottom w:val="single" w:sz="4" w:space="0" w:color="auto"/>
              <w:right w:val="nil"/>
            </w:tcBorders>
            <w:shd w:val="clear" w:color="auto" w:fill="auto"/>
            <w:hideMark/>
          </w:tcPr>
          <w:p w14:paraId="4195F018" w14:textId="77777777" w:rsidR="00230364" w:rsidRPr="00230364" w:rsidRDefault="00230364" w:rsidP="00230364">
            <w:pPr>
              <w:jc w:val="center"/>
              <w:rPr>
                <w:rFonts w:cs="Arial"/>
                <w:color w:val="000000"/>
                <w:sz w:val="24"/>
                <w:szCs w:val="24"/>
              </w:rPr>
            </w:pPr>
            <w:r w:rsidRPr="00230364">
              <w:rPr>
                <w:rFonts w:cs="Arial"/>
                <w:color w:val="000000"/>
                <w:sz w:val="24"/>
                <w:szCs w:val="24"/>
              </w:rPr>
              <w:t>285</w:t>
            </w:r>
          </w:p>
        </w:tc>
        <w:tc>
          <w:tcPr>
            <w:tcW w:w="1380" w:type="dxa"/>
            <w:tcBorders>
              <w:top w:val="nil"/>
              <w:left w:val="nil"/>
              <w:bottom w:val="single" w:sz="4" w:space="0" w:color="auto"/>
              <w:right w:val="nil"/>
            </w:tcBorders>
            <w:shd w:val="clear" w:color="auto" w:fill="auto"/>
            <w:hideMark/>
          </w:tcPr>
          <w:p w14:paraId="3028AD93" w14:textId="77777777" w:rsidR="00230364" w:rsidRPr="00230364" w:rsidRDefault="00230364" w:rsidP="00230364">
            <w:pPr>
              <w:jc w:val="center"/>
              <w:rPr>
                <w:rFonts w:cs="Arial"/>
                <w:color w:val="000000"/>
                <w:sz w:val="24"/>
                <w:szCs w:val="24"/>
              </w:rPr>
            </w:pPr>
            <w:r w:rsidRPr="00230364">
              <w:rPr>
                <w:rFonts w:cs="Arial"/>
                <w:color w:val="000000"/>
                <w:sz w:val="24"/>
                <w:szCs w:val="24"/>
              </w:rPr>
              <w:t>285</w:t>
            </w:r>
          </w:p>
        </w:tc>
      </w:tr>
      <w:tr w:rsidR="00230364" w:rsidRPr="00230364" w14:paraId="79146EEA" w14:textId="77777777" w:rsidTr="00230364">
        <w:trPr>
          <w:trHeight w:val="312"/>
        </w:trPr>
        <w:tc>
          <w:tcPr>
            <w:tcW w:w="4560" w:type="dxa"/>
            <w:tcBorders>
              <w:top w:val="nil"/>
              <w:left w:val="nil"/>
              <w:bottom w:val="nil"/>
              <w:right w:val="nil"/>
            </w:tcBorders>
            <w:shd w:val="clear" w:color="auto" w:fill="auto"/>
            <w:hideMark/>
          </w:tcPr>
          <w:p w14:paraId="0BDF9015" w14:textId="77777777" w:rsidR="00230364" w:rsidRPr="00230364" w:rsidRDefault="00230364" w:rsidP="00230364">
            <w:pPr>
              <w:jc w:val="left"/>
              <w:rPr>
                <w:rFonts w:cs="Arial"/>
                <w:b/>
                <w:bCs/>
                <w:color w:val="000000"/>
                <w:sz w:val="24"/>
                <w:szCs w:val="24"/>
              </w:rPr>
            </w:pPr>
            <w:r w:rsidRPr="00230364">
              <w:rPr>
                <w:rFonts w:cs="Arial"/>
                <w:b/>
                <w:bCs/>
                <w:color w:val="000000"/>
                <w:sz w:val="24"/>
                <w:szCs w:val="24"/>
              </w:rPr>
              <w:t>Total Head of Housing</w:t>
            </w:r>
          </w:p>
        </w:tc>
        <w:tc>
          <w:tcPr>
            <w:tcW w:w="1380" w:type="dxa"/>
            <w:tcBorders>
              <w:top w:val="nil"/>
              <w:left w:val="nil"/>
              <w:bottom w:val="nil"/>
              <w:right w:val="nil"/>
            </w:tcBorders>
            <w:shd w:val="clear" w:color="auto" w:fill="auto"/>
            <w:hideMark/>
          </w:tcPr>
          <w:p w14:paraId="1AA72E34"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1,005</w:t>
            </w:r>
          </w:p>
        </w:tc>
        <w:tc>
          <w:tcPr>
            <w:tcW w:w="1380" w:type="dxa"/>
            <w:tcBorders>
              <w:top w:val="nil"/>
              <w:left w:val="nil"/>
              <w:bottom w:val="nil"/>
              <w:right w:val="nil"/>
            </w:tcBorders>
            <w:shd w:val="clear" w:color="auto" w:fill="auto"/>
            <w:hideMark/>
          </w:tcPr>
          <w:p w14:paraId="1AA439B0"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1,005</w:t>
            </w:r>
          </w:p>
        </w:tc>
        <w:tc>
          <w:tcPr>
            <w:tcW w:w="1380" w:type="dxa"/>
            <w:tcBorders>
              <w:top w:val="nil"/>
              <w:left w:val="nil"/>
              <w:bottom w:val="nil"/>
              <w:right w:val="nil"/>
            </w:tcBorders>
            <w:shd w:val="clear" w:color="auto" w:fill="auto"/>
            <w:hideMark/>
          </w:tcPr>
          <w:p w14:paraId="2945E2A4"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1,005</w:t>
            </w:r>
          </w:p>
        </w:tc>
      </w:tr>
      <w:tr w:rsidR="00230364" w:rsidRPr="00230364" w14:paraId="4736C0DC" w14:textId="77777777" w:rsidTr="00230364">
        <w:trPr>
          <w:trHeight w:val="312"/>
        </w:trPr>
        <w:tc>
          <w:tcPr>
            <w:tcW w:w="4560" w:type="dxa"/>
            <w:tcBorders>
              <w:top w:val="nil"/>
              <w:left w:val="nil"/>
              <w:bottom w:val="nil"/>
              <w:right w:val="nil"/>
            </w:tcBorders>
            <w:shd w:val="clear" w:color="auto" w:fill="auto"/>
            <w:hideMark/>
          </w:tcPr>
          <w:p w14:paraId="1FEFEFD6" w14:textId="77777777" w:rsidR="00230364" w:rsidRPr="00230364" w:rsidRDefault="00230364" w:rsidP="00230364">
            <w:pPr>
              <w:jc w:val="center"/>
              <w:rPr>
                <w:rFonts w:cs="Arial"/>
                <w:b/>
                <w:bCs/>
                <w:color w:val="000000"/>
                <w:sz w:val="24"/>
                <w:szCs w:val="24"/>
              </w:rPr>
            </w:pPr>
          </w:p>
        </w:tc>
        <w:tc>
          <w:tcPr>
            <w:tcW w:w="1380" w:type="dxa"/>
            <w:tcBorders>
              <w:top w:val="nil"/>
              <w:left w:val="nil"/>
              <w:bottom w:val="nil"/>
              <w:right w:val="nil"/>
            </w:tcBorders>
            <w:shd w:val="clear" w:color="auto" w:fill="auto"/>
            <w:hideMark/>
          </w:tcPr>
          <w:p w14:paraId="52D09CB6" w14:textId="77777777" w:rsidR="00230364" w:rsidRPr="00230364" w:rsidRDefault="00230364" w:rsidP="00230364">
            <w:pPr>
              <w:jc w:val="left"/>
              <w:rPr>
                <w:rFonts w:ascii="Times New Roman" w:hAnsi="Times New Roman"/>
                <w:sz w:val="20"/>
                <w:szCs w:val="20"/>
              </w:rPr>
            </w:pPr>
          </w:p>
        </w:tc>
        <w:tc>
          <w:tcPr>
            <w:tcW w:w="1380" w:type="dxa"/>
            <w:tcBorders>
              <w:top w:val="nil"/>
              <w:left w:val="nil"/>
              <w:bottom w:val="nil"/>
              <w:right w:val="nil"/>
            </w:tcBorders>
            <w:shd w:val="clear" w:color="auto" w:fill="auto"/>
            <w:hideMark/>
          </w:tcPr>
          <w:p w14:paraId="2818E642" w14:textId="77777777" w:rsidR="00230364" w:rsidRPr="00230364" w:rsidRDefault="00230364" w:rsidP="00230364">
            <w:pPr>
              <w:jc w:val="center"/>
              <w:rPr>
                <w:rFonts w:ascii="Times New Roman" w:hAnsi="Times New Roman"/>
                <w:sz w:val="20"/>
                <w:szCs w:val="20"/>
              </w:rPr>
            </w:pPr>
          </w:p>
        </w:tc>
        <w:tc>
          <w:tcPr>
            <w:tcW w:w="1380" w:type="dxa"/>
            <w:tcBorders>
              <w:top w:val="nil"/>
              <w:left w:val="nil"/>
              <w:bottom w:val="nil"/>
              <w:right w:val="nil"/>
            </w:tcBorders>
            <w:shd w:val="clear" w:color="auto" w:fill="auto"/>
            <w:hideMark/>
          </w:tcPr>
          <w:p w14:paraId="5E463A48" w14:textId="77777777" w:rsidR="00230364" w:rsidRPr="00230364" w:rsidRDefault="00230364" w:rsidP="00230364">
            <w:pPr>
              <w:jc w:val="center"/>
              <w:rPr>
                <w:rFonts w:ascii="Times New Roman" w:hAnsi="Times New Roman"/>
                <w:sz w:val="20"/>
                <w:szCs w:val="20"/>
              </w:rPr>
            </w:pPr>
          </w:p>
        </w:tc>
      </w:tr>
      <w:tr w:rsidR="00230364" w:rsidRPr="00230364" w14:paraId="6CE79B83" w14:textId="77777777" w:rsidTr="00230364">
        <w:trPr>
          <w:trHeight w:val="312"/>
        </w:trPr>
        <w:tc>
          <w:tcPr>
            <w:tcW w:w="4560" w:type="dxa"/>
            <w:tcBorders>
              <w:top w:val="nil"/>
              <w:left w:val="nil"/>
              <w:bottom w:val="nil"/>
              <w:right w:val="nil"/>
            </w:tcBorders>
            <w:shd w:val="clear" w:color="auto" w:fill="auto"/>
            <w:hideMark/>
          </w:tcPr>
          <w:p w14:paraId="1A91968F" w14:textId="77777777" w:rsidR="00230364" w:rsidRPr="00230364" w:rsidRDefault="00230364" w:rsidP="00230364">
            <w:pPr>
              <w:jc w:val="left"/>
              <w:rPr>
                <w:rFonts w:cs="Arial"/>
                <w:b/>
                <w:bCs/>
                <w:color w:val="000000"/>
                <w:sz w:val="24"/>
                <w:szCs w:val="24"/>
              </w:rPr>
            </w:pPr>
            <w:r w:rsidRPr="00230364">
              <w:rPr>
                <w:rFonts w:cs="Arial"/>
                <w:b/>
                <w:bCs/>
                <w:color w:val="000000"/>
                <w:sz w:val="24"/>
                <w:szCs w:val="24"/>
              </w:rPr>
              <w:t>Head of Neighbourhood Services</w:t>
            </w:r>
          </w:p>
        </w:tc>
        <w:tc>
          <w:tcPr>
            <w:tcW w:w="1380" w:type="dxa"/>
            <w:tcBorders>
              <w:top w:val="nil"/>
              <w:left w:val="nil"/>
              <w:bottom w:val="nil"/>
              <w:right w:val="nil"/>
            </w:tcBorders>
            <w:shd w:val="clear" w:color="auto" w:fill="auto"/>
            <w:hideMark/>
          </w:tcPr>
          <w:p w14:paraId="5E49AF3C" w14:textId="77777777" w:rsidR="00230364" w:rsidRPr="00230364" w:rsidRDefault="00230364" w:rsidP="00230364">
            <w:pPr>
              <w:jc w:val="left"/>
              <w:rPr>
                <w:rFonts w:cs="Arial"/>
                <w:b/>
                <w:bCs/>
                <w:color w:val="000000"/>
                <w:sz w:val="24"/>
                <w:szCs w:val="24"/>
              </w:rPr>
            </w:pPr>
          </w:p>
        </w:tc>
        <w:tc>
          <w:tcPr>
            <w:tcW w:w="1380" w:type="dxa"/>
            <w:tcBorders>
              <w:top w:val="nil"/>
              <w:left w:val="nil"/>
              <w:bottom w:val="nil"/>
              <w:right w:val="nil"/>
            </w:tcBorders>
            <w:shd w:val="clear" w:color="auto" w:fill="auto"/>
            <w:hideMark/>
          </w:tcPr>
          <w:p w14:paraId="4BD46EFB" w14:textId="77777777" w:rsidR="00230364" w:rsidRPr="00230364" w:rsidRDefault="00230364" w:rsidP="00230364">
            <w:pPr>
              <w:jc w:val="center"/>
              <w:rPr>
                <w:rFonts w:ascii="Times New Roman" w:hAnsi="Times New Roman"/>
                <w:sz w:val="20"/>
                <w:szCs w:val="20"/>
              </w:rPr>
            </w:pPr>
          </w:p>
        </w:tc>
        <w:tc>
          <w:tcPr>
            <w:tcW w:w="1380" w:type="dxa"/>
            <w:tcBorders>
              <w:top w:val="nil"/>
              <w:left w:val="nil"/>
              <w:bottom w:val="nil"/>
              <w:right w:val="nil"/>
            </w:tcBorders>
            <w:shd w:val="clear" w:color="auto" w:fill="auto"/>
            <w:hideMark/>
          </w:tcPr>
          <w:p w14:paraId="2FB27963" w14:textId="77777777" w:rsidR="00230364" w:rsidRPr="00230364" w:rsidRDefault="00230364" w:rsidP="00230364">
            <w:pPr>
              <w:jc w:val="center"/>
              <w:rPr>
                <w:rFonts w:ascii="Times New Roman" w:hAnsi="Times New Roman"/>
                <w:sz w:val="20"/>
                <w:szCs w:val="20"/>
              </w:rPr>
            </w:pPr>
          </w:p>
        </w:tc>
      </w:tr>
      <w:tr w:rsidR="00230364" w:rsidRPr="00230364" w14:paraId="13F0C778" w14:textId="77777777" w:rsidTr="00230364">
        <w:trPr>
          <w:trHeight w:val="300"/>
        </w:trPr>
        <w:tc>
          <w:tcPr>
            <w:tcW w:w="4560" w:type="dxa"/>
            <w:tcBorders>
              <w:top w:val="nil"/>
              <w:left w:val="nil"/>
              <w:bottom w:val="nil"/>
              <w:right w:val="nil"/>
            </w:tcBorders>
            <w:shd w:val="clear" w:color="auto" w:fill="auto"/>
            <w:hideMark/>
          </w:tcPr>
          <w:p w14:paraId="0C45D48C" w14:textId="77777777" w:rsidR="00230364" w:rsidRPr="00230364" w:rsidRDefault="00230364" w:rsidP="00230364">
            <w:pPr>
              <w:jc w:val="left"/>
              <w:rPr>
                <w:rFonts w:cs="Arial"/>
                <w:color w:val="000000"/>
                <w:sz w:val="24"/>
                <w:szCs w:val="24"/>
              </w:rPr>
            </w:pPr>
            <w:r w:rsidRPr="00230364">
              <w:rPr>
                <w:rFonts w:cs="Arial"/>
                <w:color w:val="000000"/>
                <w:sz w:val="24"/>
                <w:szCs w:val="24"/>
              </w:rPr>
              <w:t xml:space="preserve">S106 314 </w:t>
            </w:r>
            <w:proofErr w:type="spellStart"/>
            <w:r w:rsidRPr="00230364">
              <w:rPr>
                <w:rFonts w:cs="Arial"/>
                <w:color w:val="000000"/>
                <w:sz w:val="24"/>
                <w:szCs w:val="24"/>
              </w:rPr>
              <w:t>Ladybrook</w:t>
            </w:r>
            <w:proofErr w:type="spellEnd"/>
            <w:r w:rsidRPr="00230364">
              <w:rPr>
                <w:rFonts w:cs="Arial"/>
                <w:color w:val="000000"/>
                <w:sz w:val="24"/>
                <w:szCs w:val="24"/>
              </w:rPr>
              <w:t xml:space="preserve"> Park</w:t>
            </w:r>
          </w:p>
        </w:tc>
        <w:tc>
          <w:tcPr>
            <w:tcW w:w="1380" w:type="dxa"/>
            <w:tcBorders>
              <w:top w:val="nil"/>
              <w:left w:val="nil"/>
              <w:bottom w:val="nil"/>
              <w:right w:val="nil"/>
            </w:tcBorders>
            <w:shd w:val="clear" w:color="auto" w:fill="auto"/>
            <w:hideMark/>
          </w:tcPr>
          <w:p w14:paraId="6DF7BE52" w14:textId="77777777" w:rsidR="00230364" w:rsidRPr="00230364" w:rsidRDefault="00230364" w:rsidP="00230364">
            <w:pPr>
              <w:jc w:val="center"/>
              <w:rPr>
                <w:rFonts w:cs="Arial"/>
                <w:color w:val="000000"/>
                <w:sz w:val="24"/>
                <w:szCs w:val="24"/>
              </w:rPr>
            </w:pPr>
            <w:r w:rsidRPr="00230364">
              <w:rPr>
                <w:rFonts w:cs="Arial"/>
                <w:color w:val="000000"/>
                <w:sz w:val="24"/>
                <w:szCs w:val="24"/>
              </w:rPr>
              <w:t>23</w:t>
            </w:r>
          </w:p>
        </w:tc>
        <w:tc>
          <w:tcPr>
            <w:tcW w:w="1380" w:type="dxa"/>
            <w:tcBorders>
              <w:top w:val="nil"/>
              <w:left w:val="nil"/>
              <w:bottom w:val="nil"/>
              <w:right w:val="nil"/>
            </w:tcBorders>
            <w:shd w:val="clear" w:color="auto" w:fill="auto"/>
            <w:hideMark/>
          </w:tcPr>
          <w:p w14:paraId="544D4A39"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34253F0E"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2F699C79" w14:textId="77777777" w:rsidTr="00230364">
        <w:trPr>
          <w:trHeight w:val="309"/>
        </w:trPr>
        <w:tc>
          <w:tcPr>
            <w:tcW w:w="4560" w:type="dxa"/>
            <w:tcBorders>
              <w:top w:val="nil"/>
              <w:left w:val="nil"/>
              <w:bottom w:val="nil"/>
              <w:right w:val="nil"/>
            </w:tcBorders>
            <w:shd w:val="clear" w:color="auto" w:fill="auto"/>
            <w:hideMark/>
          </w:tcPr>
          <w:p w14:paraId="1720EFBB" w14:textId="77777777" w:rsidR="00230364" w:rsidRPr="00230364" w:rsidRDefault="00230364" w:rsidP="00230364">
            <w:pPr>
              <w:jc w:val="left"/>
              <w:rPr>
                <w:rFonts w:cs="Arial"/>
                <w:color w:val="000000"/>
                <w:sz w:val="24"/>
                <w:szCs w:val="24"/>
              </w:rPr>
            </w:pPr>
            <w:r w:rsidRPr="00230364">
              <w:rPr>
                <w:rFonts w:cs="Arial"/>
                <w:color w:val="000000"/>
                <w:sz w:val="24"/>
                <w:szCs w:val="24"/>
              </w:rPr>
              <w:t xml:space="preserve">S106 Bull Farm Park 249 </w:t>
            </w:r>
          </w:p>
        </w:tc>
        <w:tc>
          <w:tcPr>
            <w:tcW w:w="1380" w:type="dxa"/>
            <w:tcBorders>
              <w:top w:val="nil"/>
              <w:left w:val="nil"/>
              <w:bottom w:val="nil"/>
              <w:right w:val="nil"/>
            </w:tcBorders>
            <w:shd w:val="clear" w:color="auto" w:fill="auto"/>
            <w:hideMark/>
          </w:tcPr>
          <w:p w14:paraId="6599A80E" w14:textId="77777777" w:rsidR="00230364" w:rsidRPr="00230364" w:rsidRDefault="00230364" w:rsidP="00230364">
            <w:pPr>
              <w:jc w:val="center"/>
              <w:rPr>
                <w:rFonts w:cs="Arial"/>
                <w:color w:val="000000"/>
                <w:sz w:val="24"/>
                <w:szCs w:val="24"/>
              </w:rPr>
            </w:pPr>
            <w:r w:rsidRPr="00230364">
              <w:rPr>
                <w:rFonts w:cs="Arial"/>
                <w:color w:val="000000"/>
                <w:sz w:val="24"/>
                <w:szCs w:val="24"/>
              </w:rPr>
              <w:t>131</w:t>
            </w:r>
          </w:p>
        </w:tc>
        <w:tc>
          <w:tcPr>
            <w:tcW w:w="1380" w:type="dxa"/>
            <w:tcBorders>
              <w:top w:val="nil"/>
              <w:left w:val="nil"/>
              <w:bottom w:val="nil"/>
              <w:right w:val="nil"/>
            </w:tcBorders>
            <w:shd w:val="clear" w:color="auto" w:fill="auto"/>
            <w:hideMark/>
          </w:tcPr>
          <w:p w14:paraId="52D11A18"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3AE2F1F8"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0936220C" w14:textId="77777777" w:rsidTr="00230364">
        <w:trPr>
          <w:trHeight w:val="309"/>
        </w:trPr>
        <w:tc>
          <w:tcPr>
            <w:tcW w:w="4560" w:type="dxa"/>
            <w:tcBorders>
              <w:top w:val="nil"/>
              <w:left w:val="nil"/>
              <w:bottom w:val="nil"/>
              <w:right w:val="nil"/>
            </w:tcBorders>
            <w:shd w:val="clear" w:color="auto" w:fill="auto"/>
            <w:hideMark/>
          </w:tcPr>
          <w:p w14:paraId="01A49E96" w14:textId="77777777" w:rsidR="00230364" w:rsidRPr="00230364" w:rsidRDefault="00230364" w:rsidP="00230364">
            <w:pPr>
              <w:jc w:val="left"/>
              <w:rPr>
                <w:rFonts w:cs="Arial"/>
                <w:color w:val="000000"/>
                <w:sz w:val="24"/>
                <w:szCs w:val="24"/>
              </w:rPr>
            </w:pPr>
            <w:r w:rsidRPr="00230364">
              <w:rPr>
                <w:rFonts w:cs="Arial"/>
                <w:color w:val="000000"/>
                <w:sz w:val="24"/>
                <w:szCs w:val="24"/>
              </w:rPr>
              <w:t>S106 Water Lane Allotments 248 Contractor Payments</w:t>
            </w:r>
          </w:p>
        </w:tc>
        <w:tc>
          <w:tcPr>
            <w:tcW w:w="1380" w:type="dxa"/>
            <w:tcBorders>
              <w:top w:val="nil"/>
              <w:left w:val="nil"/>
              <w:bottom w:val="nil"/>
              <w:right w:val="nil"/>
            </w:tcBorders>
            <w:shd w:val="clear" w:color="auto" w:fill="auto"/>
            <w:hideMark/>
          </w:tcPr>
          <w:p w14:paraId="23647EB1" w14:textId="77777777" w:rsidR="00230364" w:rsidRPr="00230364" w:rsidRDefault="00230364" w:rsidP="00230364">
            <w:pPr>
              <w:jc w:val="center"/>
              <w:rPr>
                <w:rFonts w:cs="Arial"/>
                <w:color w:val="000000"/>
                <w:sz w:val="24"/>
                <w:szCs w:val="24"/>
              </w:rPr>
            </w:pPr>
            <w:r w:rsidRPr="00230364">
              <w:rPr>
                <w:rFonts w:cs="Arial"/>
                <w:color w:val="000000"/>
                <w:sz w:val="24"/>
                <w:szCs w:val="24"/>
              </w:rPr>
              <w:t>12</w:t>
            </w:r>
          </w:p>
        </w:tc>
        <w:tc>
          <w:tcPr>
            <w:tcW w:w="1380" w:type="dxa"/>
            <w:tcBorders>
              <w:top w:val="nil"/>
              <w:left w:val="nil"/>
              <w:bottom w:val="nil"/>
              <w:right w:val="nil"/>
            </w:tcBorders>
            <w:shd w:val="clear" w:color="auto" w:fill="auto"/>
            <w:hideMark/>
          </w:tcPr>
          <w:p w14:paraId="615D077E"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48F56525"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4CFF51C1" w14:textId="77777777" w:rsidTr="00230364">
        <w:trPr>
          <w:trHeight w:val="309"/>
        </w:trPr>
        <w:tc>
          <w:tcPr>
            <w:tcW w:w="4560" w:type="dxa"/>
            <w:tcBorders>
              <w:top w:val="nil"/>
              <w:left w:val="nil"/>
              <w:bottom w:val="nil"/>
              <w:right w:val="nil"/>
            </w:tcBorders>
            <w:shd w:val="clear" w:color="auto" w:fill="auto"/>
            <w:hideMark/>
          </w:tcPr>
          <w:p w14:paraId="7CC4E585" w14:textId="77777777" w:rsidR="00230364" w:rsidRPr="00230364" w:rsidRDefault="00230364" w:rsidP="00230364">
            <w:pPr>
              <w:jc w:val="left"/>
              <w:rPr>
                <w:rFonts w:cs="Arial"/>
                <w:color w:val="000000"/>
                <w:sz w:val="24"/>
                <w:szCs w:val="24"/>
              </w:rPr>
            </w:pPr>
            <w:r w:rsidRPr="00230364">
              <w:rPr>
                <w:rFonts w:cs="Arial"/>
                <w:color w:val="000000"/>
                <w:sz w:val="24"/>
                <w:szCs w:val="24"/>
              </w:rPr>
              <w:t xml:space="preserve">S106 Woburn Rd OS 249 </w:t>
            </w:r>
          </w:p>
        </w:tc>
        <w:tc>
          <w:tcPr>
            <w:tcW w:w="1380" w:type="dxa"/>
            <w:tcBorders>
              <w:top w:val="nil"/>
              <w:left w:val="nil"/>
              <w:bottom w:val="nil"/>
              <w:right w:val="nil"/>
            </w:tcBorders>
            <w:shd w:val="clear" w:color="auto" w:fill="auto"/>
            <w:hideMark/>
          </w:tcPr>
          <w:p w14:paraId="28A6243E" w14:textId="77777777" w:rsidR="00230364" w:rsidRPr="00230364" w:rsidRDefault="00230364" w:rsidP="00230364">
            <w:pPr>
              <w:jc w:val="center"/>
              <w:rPr>
                <w:rFonts w:cs="Arial"/>
                <w:color w:val="000000"/>
                <w:sz w:val="24"/>
                <w:szCs w:val="24"/>
              </w:rPr>
            </w:pPr>
            <w:r w:rsidRPr="00230364">
              <w:rPr>
                <w:rFonts w:cs="Arial"/>
                <w:color w:val="000000"/>
                <w:sz w:val="24"/>
                <w:szCs w:val="24"/>
              </w:rPr>
              <w:t>40</w:t>
            </w:r>
          </w:p>
        </w:tc>
        <w:tc>
          <w:tcPr>
            <w:tcW w:w="1380" w:type="dxa"/>
            <w:tcBorders>
              <w:top w:val="nil"/>
              <w:left w:val="nil"/>
              <w:bottom w:val="nil"/>
              <w:right w:val="nil"/>
            </w:tcBorders>
            <w:shd w:val="clear" w:color="auto" w:fill="auto"/>
            <w:hideMark/>
          </w:tcPr>
          <w:p w14:paraId="08C91AFF"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261D4C28"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3C9C2012" w14:textId="77777777" w:rsidTr="00230364">
        <w:trPr>
          <w:trHeight w:val="309"/>
        </w:trPr>
        <w:tc>
          <w:tcPr>
            <w:tcW w:w="4560" w:type="dxa"/>
            <w:tcBorders>
              <w:top w:val="nil"/>
              <w:left w:val="nil"/>
              <w:bottom w:val="nil"/>
              <w:right w:val="nil"/>
            </w:tcBorders>
            <w:shd w:val="clear" w:color="auto" w:fill="auto"/>
            <w:hideMark/>
          </w:tcPr>
          <w:p w14:paraId="79F02DEE" w14:textId="77777777" w:rsidR="00230364" w:rsidRPr="00230364" w:rsidRDefault="00230364" w:rsidP="00230364">
            <w:pPr>
              <w:jc w:val="left"/>
              <w:rPr>
                <w:rFonts w:cs="Arial"/>
                <w:color w:val="000000"/>
                <w:sz w:val="24"/>
                <w:szCs w:val="24"/>
              </w:rPr>
            </w:pPr>
            <w:r w:rsidRPr="00230364">
              <w:rPr>
                <w:rFonts w:cs="Arial"/>
                <w:color w:val="000000"/>
                <w:sz w:val="24"/>
                <w:szCs w:val="24"/>
              </w:rPr>
              <w:t xml:space="preserve">S106 Johnsons Drive 311A </w:t>
            </w:r>
          </w:p>
        </w:tc>
        <w:tc>
          <w:tcPr>
            <w:tcW w:w="1380" w:type="dxa"/>
            <w:tcBorders>
              <w:top w:val="nil"/>
              <w:left w:val="nil"/>
              <w:bottom w:val="nil"/>
              <w:right w:val="nil"/>
            </w:tcBorders>
            <w:shd w:val="clear" w:color="auto" w:fill="auto"/>
            <w:hideMark/>
          </w:tcPr>
          <w:p w14:paraId="0E1EF4FB" w14:textId="77777777" w:rsidR="00230364" w:rsidRPr="00230364" w:rsidRDefault="00230364" w:rsidP="00230364">
            <w:pPr>
              <w:jc w:val="center"/>
              <w:rPr>
                <w:rFonts w:cs="Arial"/>
                <w:color w:val="000000"/>
                <w:sz w:val="24"/>
                <w:szCs w:val="24"/>
              </w:rPr>
            </w:pPr>
            <w:r w:rsidRPr="00230364">
              <w:rPr>
                <w:rFonts w:cs="Arial"/>
                <w:color w:val="000000"/>
                <w:sz w:val="24"/>
                <w:szCs w:val="24"/>
              </w:rPr>
              <w:t>48</w:t>
            </w:r>
          </w:p>
        </w:tc>
        <w:tc>
          <w:tcPr>
            <w:tcW w:w="1380" w:type="dxa"/>
            <w:tcBorders>
              <w:top w:val="nil"/>
              <w:left w:val="nil"/>
              <w:bottom w:val="nil"/>
              <w:right w:val="nil"/>
            </w:tcBorders>
            <w:shd w:val="clear" w:color="auto" w:fill="auto"/>
            <w:hideMark/>
          </w:tcPr>
          <w:p w14:paraId="54A8FBDA"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71D2BCA6"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0150F621" w14:textId="77777777" w:rsidTr="00230364">
        <w:trPr>
          <w:trHeight w:val="309"/>
        </w:trPr>
        <w:tc>
          <w:tcPr>
            <w:tcW w:w="4560" w:type="dxa"/>
            <w:tcBorders>
              <w:top w:val="nil"/>
              <w:left w:val="nil"/>
              <w:bottom w:val="nil"/>
              <w:right w:val="nil"/>
            </w:tcBorders>
            <w:shd w:val="clear" w:color="auto" w:fill="auto"/>
            <w:hideMark/>
          </w:tcPr>
          <w:p w14:paraId="4C871E71" w14:textId="77777777" w:rsidR="00230364" w:rsidRPr="00230364" w:rsidRDefault="00230364" w:rsidP="00230364">
            <w:pPr>
              <w:jc w:val="left"/>
              <w:rPr>
                <w:rFonts w:cs="Arial"/>
                <w:color w:val="000000"/>
                <w:sz w:val="24"/>
                <w:szCs w:val="24"/>
              </w:rPr>
            </w:pPr>
            <w:r w:rsidRPr="00230364">
              <w:rPr>
                <w:rFonts w:cs="Arial"/>
                <w:color w:val="000000"/>
                <w:sz w:val="24"/>
                <w:szCs w:val="24"/>
              </w:rPr>
              <w:t xml:space="preserve">S106 </w:t>
            </w:r>
            <w:proofErr w:type="spellStart"/>
            <w:r w:rsidRPr="00230364">
              <w:rPr>
                <w:rFonts w:cs="Arial"/>
                <w:color w:val="000000"/>
                <w:sz w:val="24"/>
                <w:szCs w:val="24"/>
              </w:rPr>
              <w:t>Skegby</w:t>
            </w:r>
            <w:proofErr w:type="spellEnd"/>
            <w:r w:rsidRPr="00230364">
              <w:rPr>
                <w:rFonts w:cs="Arial"/>
                <w:color w:val="000000"/>
                <w:sz w:val="24"/>
                <w:szCs w:val="24"/>
              </w:rPr>
              <w:t xml:space="preserve"> Lane</w:t>
            </w:r>
          </w:p>
        </w:tc>
        <w:tc>
          <w:tcPr>
            <w:tcW w:w="1380" w:type="dxa"/>
            <w:tcBorders>
              <w:top w:val="nil"/>
              <w:left w:val="nil"/>
              <w:bottom w:val="nil"/>
              <w:right w:val="nil"/>
            </w:tcBorders>
            <w:shd w:val="clear" w:color="auto" w:fill="auto"/>
            <w:hideMark/>
          </w:tcPr>
          <w:p w14:paraId="76A7AEF6" w14:textId="77777777" w:rsidR="00230364" w:rsidRPr="00230364" w:rsidRDefault="00230364" w:rsidP="00230364">
            <w:pPr>
              <w:jc w:val="center"/>
              <w:rPr>
                <w:rFonts w:cs="Arial"/>
                <w:color w:val="000000"/>
                <w:sz w:val="24"/>
                <w:szCs w:val="24"/>
              </w:rPr>
            </w:pPr>
            <w:r w:rsidRPr="00230364">
              <w:rPr>
                <w:rFonts w:cs="Arial"/>
                <w:color w:val="000000"/>
                <w:sz w:val="24"/>
                <w:szCs w:val="24"/>
              </w:rPr>
              <w:t>11</w:t>
            </w:r>
          </w:p>
        </w:tc>
        <w:tc>
          <w:tcPr>
            <w:tcW w:w="1380" w:type="dxa"/>
            <w:tcBorders>
              <w:top w:val="nil"/>
              <w:left w:val="nil"/>
              <w:bottom w:val="nil"/>
              <w:right w:val="nil"/>
            </w:tcBorders>
            <w:shd w:val="clear" w:color="auto" w:fill="auto"/>
            <w:hideMark/>
          </w:tcPr>
          <w:p w14:paraId="19F01260"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29FD9BDB"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24FFB5EC" w14:textId="77777777" w:rsidTr="00230364">
        <w:trPr>
          <w:trHeight w:val="309"/>
        </w:trPr>
        <w:tc>
          <w:tcPr>
            <w:tcW w:w="4560" w:type="dxa"/>
            <w:tcBorders>
              <w:top w:val="nil"/>
              <w:left w:val="nil"/>
              <w:bottom w:val="nil"/>
              <w:right w:val="nil"/>
            </w:tcBorders>
            <w:shd w:val="clear" w:color="auto" w:fill="auto"/>
            <w:hideMark/>
          </w:tcPr>
          <w:p w14:paraId="19FF141A" w14:textId="77777777" w:rsidR="00230364" w:rsidRPr="00230364" w:rsidRDefault="00230364" w:rsidP="00230364">
            <w:pPr>
              <w:jc w:val="left"/>
              <w:rPr>
                <w:rFonts w:cs="Arial"/>
                <w:color w:val="000000"/>
                <w:sz w:val="24"/>
                <w:szCs w:val="24"/>
              </w:rPr>
            </w:pPr>
            <w:r w:rsidRPr="00230364">
              <w:rPr>
                <w:rFonts w:cs="Arial"/>
                <w:color w:val="000000"/>
                <w:sz w:val="24"/>
                <w:szCs w:val="24"/>
              </w:rPr>
              <w:t>S106 Quarry Lane LNR 191</w:t>
            </w:r>
          </w:p>
        </w:tc>
        <w:tc>
          <w:tcPr>
            <w:tcW w:w="1380" w:type="dxa"/>
            <w:tcBorders>
              <w:top w:val="nil"/>
              <w:left w:val="nil"/>
              <w:bottom w:val="nil"/>
              <w:right w:val="nil"/>
            </w:tcBorders>
            <w:shd w:val="clear" w:color="auto" w:fill="auto"/>
            <w:hideMark/>
          </w:tcPr>
          <w:p w14:paraId="69B2E131" w14:textId="77777777" w:rsidR="00230364" w:rsidRPr="00230364" w:rsidRDefault="00230364" w:rsidP="00230364">
            <w:pPr>
              <w:jc w:val="center"/>
              <w:rPr>
                <w:rFonts w:cs="Arial"/>
                <w:color w:val="000000"/>
                <w:sz w:val="24"/>
                <w:szCs w:val="24"/>
              </w:rPr>
            </w:pPr>
            <w:r w:rsidRPr="00230364">
              <w:rPr>
                <w:rFonts w:cs="Arial"/>
                <w:color w:val="000000"/>
                <w:sz w:val="24"/>
                <w:szCs w:val="24"/>
              </w:rPr>
              <w:t>10</w:t>
            </w:r>
          </w:p>
        </w:tc>
        <w:tc>
          <w:tcPr>
            <w:tcW w:w="1380" w:type="dxa"/>
            <w:tcBorders>
              <w:top w:val="nil"/>
              <w:left w:val="nil"/>
              <w:bottom w:val="nil"/>
              <w:right w:val="nil"/>
            </w:tcBorders>
            <w:shd w:val="clear" w:color="auto" w:fill="auto"/>
            <w:hideMark/>
          </w:tcPr>
          <w:p w14:paraId="0E75FF8A"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5FD90E1F"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21D3B448" w14:textId="77777777" w:rsidTr="00230364">
        <w:trPr>
          <w:trHeight w:val="300"/>
        </w:trPr>
        <w:tc>
          <w:tcPr>
            <w:tcW w:w="4560" w:type="dxa"/>
            <w:tcBorders>
              <w:top w:val="nil"/>
              <w:left w:val="nil"/>
              <w:bottom w:val="nil"/>
              <w:right w:val="nil"/>
            </w:tcBorders>
            <w:shd w:val="clear" w:color="auto" w:fill="auto"/>
            <w:hideMark/>
          </w:tcPr>
          <w:p w14:paraId="00F2DF7A" w14:textId="77777777" w:rsidR="00230364" w:rsidRPr="00230364" w:rsidRDefault="00230364" w:rsidP="00230364">
            <w:pPr>
              <w:jc w:val="left"/>
              <w:rPr>
                <w:rFonts w:cs="Arial"/>
                <w:color w:val="000000"/>
                <w:sz w:val="24"/>
                <w:szCs w:val="24"/>
              </w:rPr>
            </w:pPr>
            <w:r w:rsidRPr="00230364">
              <w:rPr>
                <w:rFonts w:cs="Arial"/>
                <w:color w:val="000000"/>
                <w:sz w:val="24"/>
                <w:szCs w:val="24"/>
              </w:rPr>
              <w:t xml:space="preserve">Cemeteries </w:t>
            </w:r>
          </w:p>
        </w:tc>
        <w:tc>
          <w:tcPr>
            <w:tcW w:w="1380" w:type="dxa"/>
            <w:tcBorders>
              <w:top w:val="nil"/>
              <w:left w:val="nil"/>
              <w:bottom w:val="nil"/>
              <w:right w:val="nil"/>
            </w:tcBorders>
            <w:shd w:val="clear" w:color="auto" w:fill="auto"/>
            <w:hideMark/>
          </w:tcPr>
          <w:p w14:paraId="0073FC67" w14:textId="77777777" w:rsidR="00230364" w:rsidRPr="00230364" w:rsidRDefault="00230364" w:rsidP="00230364">
            <w:pPr>
              <w:jc w:val="center"/>
              <w:rPr>
                <w:rFonts w:cs="Arial"/>
                <w:color w:val="000000"/>
                <w:sz w:val="24"/>
                <w:szCs w:val="24"/>
              </w:rPr>
            </w:pPr>
            <w:r w:rsidRPr="00230364">
              <w:rPr>
                <w:rFonts w:cs="Arial"/>
                <w:color w:val="000000"/>
                <w:sz w:val="24"/>
                <w:szCs w:val="24"/>
              </w:rPr>
              <w:t>29</w:t>
            </w:r>
          </w:p>
        </w:tc>
        <w:tc>
          <w:tcPr>
            <w:tcW w:w="1380" w:type="dxa"/>
            <w:tcBorders>
              <w:top w:val="nil"/>
              <w:left w:val="nil"/>
              <w:bottom w:val="nil"/>
              <w:right w:val="nil"/>
            </w:tcBorders>
            <w:shd w:val="clear" w:color="auto" w:fill="auto"/>
            <w:hideMark/>
          </w:tcPr>
          <w:p w14:paraId="7CA6ADEB"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216B060C"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71CB8613" w14:textId="77777777" w:rsidTr="00230364">
        <w:trPr>
          <w:trHeight w:val="300"/>
        </w:trPr>
        <w:tc>
          <w:tcPr>
            <w:tcW w:w="4560" w:type="dxa"/>
            <w:tcBorders>
              <w:top w:val="nil"/>
              <w:left w:val="nil"/>
              <w:bottom w:val="nil"/>
              <w:right w:val="nil"/>
            </w:tcBorders>
            <w:shd w:val="clear" w:color="auto" w:fill="auto"/>
            <w:hideMark/>
          </w:tcPr>
          <w:p w14:paraId="51B7F14B" w14:textId="77777777" w:rsidR="00230364" w:rsidRPr="00230364" w:rsidRDefault="00230364" w:rsidP="00230364">
            <w:pPr>
              <w:jc w:val="left"/>
              <w:rPr>
                <w:rFonts w:cs="Arial"/>
                <w:sz w:val="24"/>
                <w:szCs w:val="24"/>
              </w:rPr>
            </w:pPr>
            <w:r w:rsidRPr="00230364">
              <w:rPr>
                <w:rFonts w:cs="Arial"/>
                <w:sz w:val="24"/>
                <w:szCs w:val="24"/>
              </w:rPr>
              <w:t>Cemeteries Infrastructure</w:t>
            </w:r>
          </w:p>
        </w:tc>
        <w:tc>
          <w:tcPr>
            <w:tcW w:w="1380" w:type="dxa"/>
            <w:tcBorders>
              <w:top w:val="nil"/>
              <w:left w:val="nil"/>
              <w:bottom w:val="nil"/>
              <w:right w:val="nil"/>
            </w:tcBorders>
            <w:shd w:val="clear" w:color="auto" w:fill="auto"/>
            <w:hideMark/>
          </w:tcPr>
          <w:p w14:paraId="18B09A7F" w14:textId="77777777" w:rsidR="00230364" w:rsidRPr="00230364" w:rsidRDefault="00230364" w:rsidP="00230364">
            <w:pPr>
              <w:jc w:val="center"/>
              <w:rPr>
                <w:rFonts w:cs="Arial"/>
                <w:color w:val="000000"/>
                <w:sz w:val="24"/>
                <w:szCs w:val="24"/>
              </w:rPr>
            </w:pPr>
            <w:r w:rsidRPr="00230364">
              <w:rPr>
                <w:rFonts w:cs="Arial"/>
                <w:color w:val="000000"/>
                <w:sz w:val="24"/>
                <w:szCs w:val="24"/>
              </w:rPr>
              <w:t>1,815</w:t>
            </w:r>
          </w:p>
        </w:tc>
        <w:tc>
          <w:tcPr>
            <w:tcW w:w="1380" w:type="dxa"/>
            <w:tcBorders>
              <w:top w:val="nil"/>
              <w:left w:val="nil"/>
              <w:bottom w:val="nil"/>
              <w:right w:val="nil"/>
            </w:tcBorders>
            <w:shd w:val="clear" w:color="auto" w:fill="auto"/>
            <w:hideMark/>
          </w:tcPr>
          <w:p w14:paraId="4A23C238"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58DEAE24"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0A13F058" w14:textId="77777777" w:rsidTr="00230364">
        <w:trPr>
          <w:trHeight w:val="300"/>
        </w:trPr>
        <w:tc>
          <w:tcPr>
            <w:tcW w:w="4560" w:type="dxa"/>
            <w:tcBorders>
              <w:top w:val="nil"/>
              <w:left w:val="nil"/>
              <w:bottom w:val="nil"/>
              <w:right w:val="nil"/>
            </w:tcBorders>
            <w:shd w:val="clear" w:color="auto" w:fill="auto"/>
            <w:hideMark/>
          </w:tcPr>
          <w:p w14:paraId="27E36F6E" w14:textId="77777777" w:rsidR="00230364" w:rsidRPr="00230364" w:rsidRDefault="00230364" w:rsidP="00230364">
            <w:pPr>
              <w:jc w:val="left"/>
              <w:rPr>
                <w:rFonts w:cs="Arial"/>
                <w:color w:val="000000"/>
                <w:sz w:val="24"/>
                <w:szCs w:val="24"/>
              </w:rPr>
            </w:pPr>
            <w:r w:rsidRPr="00230364">
              <w:rPr>
                <w:rFonts w:cs="Arial"/>
                <w:color w:val="000000"/>
                <w:sz w:val="24"/>
                <w:szCs w:val="24"/>
              </w:rPr>
              <w:t>Fleet Vehicle Acquisition</w:t>
            </w:r>
          </w:p>
        </w:tc>
        <w:tc>
          <w:tcPr>
            <w:tcW w:w="1380" w:type="dxa"/>
            <w:tcBorders>
              <w:top w:val="nil"/>
              <w:left w:val="nil"/>
              <w:bottom w:val="nil"/>
              <w:right w:val="nil"/>
            </w:tcBorders>
            <w:shd w:val="clear" w:color="auto" w:fill="auto"/>
            <w:hideMark/>
          </w:tcPr>
          <w:p w14:paraId="5B36916C" w14:textId="77777777" w:rsidR="00230364" w:rsidRPr="00230364" w:rsidRDefault="00230364" w:rsidP="00230364">
            <w:pPr>
              <w:jc w:val="center"/>
              <w:rPr>
                <w:rFonts w:cs="Arial"/>
                <w:color w:val="000000"/>
                <w:sz w:val="24"/>
                <w:szCs w:val="24"/>
              </w:rPr>
            </w:pPr>
            <w:r w:rsidRPr="00230364">
              <w:rPr>
                <w:rFonts w:cs="Arial"/>
                <w:color w:val="000000"/>
                <w:sz w:val="24"/>
                <w:szCs w:val="24"/>
              </w:rPr>
              <w:t>472</w:t>
            </w:r>
          </w:p>
        </w:tc>
        <w:tc>
          <w:tcPr>
            <w:tcW w:w="1380" w:type="dxa"/>
            <w:tcBorders>
              <w:top w:val="nil"/>
              <w:left w:val="nil"/>
              <w:bottom w:val="nil"/>
              <w:right w:val="nil"/>
            </w:tcBorders>
            <w:shd w:val="clear" w:color="auto" w:fill="auto"/>
            <w:hideMark/>
          </w:tcPr>
          <w:p w14:paraId="5775BA7E" w14:textId="77777777" w:rsidR="00230364" w:rsidRPr="00230364" w:rsidRDefault="00230364" w:rsidP="00230364">
            <w:pPr>
              <w:jc w:val="center"/>
              <w:rPr>
                <w:rFonts w:cs="Arial"/>
                <w:color w:val="000000"/>
                <w:sz w:val="24"/>
                <w:szCs w:val="24"/>
              </w:rPr>
            </w:pPr>
            <w:r w:rsidRPr="00230364">
              <w:rPr>
                <w:rFonts w:cs="Arial"/>
                <w:color w:val="000000"/>
                <w:sz w:val="24"/>
                <w:szCs w:val="24"/>
              </w:rPr>
              <w:t>472</w:t>
            </w:r>
          </w:p>
        </w:tc>
        <w:tc>
          <w:tcPr>
            <w:tcW w:w="1380" w:type="dxa"/>
            <w:tcBorders>
              <w:top w:val="nil"/>
              <w:left w:val="nil"/>
              <w:bottom w:val="nil"/>
              <w:right w:val="nil"/>
            </w:tcBorders>
            <w:shd w:val="clear" w:color="auto" w:fill="auto"/>
            <w:hideMark/>
          </w:tcPr>
          <w:p w14:paraId="5A8060F1" w14:textId="77777777" w:rsidR="00230364" w:rsidRPr="00230364" w:rsidRDefault="00230364" w:rsidP="00230364">
            <w:pPr>
              <w:jc w:val="center"/>
              <w:rPr>
                <w:rFonts w:cs="Arial"/>
                <w:color w:val="000000"/>
                <w:sz w:val="24"/>
                <w:szCs w:val="24"/>
              </w:rPr>
            </w:pPr>
            <w:r w:rsidRPr="00230364">
              <w:rPr>
                <w:rFonts w:cs="Arial"/>
                <w:color w:val="000000"/>
                <w:sz w:val="24"/>
                <w:szCs w:val="24"/>
              </w:rPr>
              <w:t>472</w:t>
            </w:r>
          </w:p>
        </w:tc>
      </w:tr>
      <w:tr w:rsidR="00230364" w:rsidRPr="00230364" w14:paraId="3AE7B44D" w14:textId="77777777" w:rsidTr="00230364">
        <w:trPr>
          <w:trHeight w:val="309"/>
        </w:trPr>
        <w:tc>
          <w:tcPr>
            <w:tcW w:w="4560" w:type="dxa"/>
            <w:tcBorders>
              <w:top w:val="nil"/>
              <w:left w:val="nil"/>
              <w:bottom w:val="nil"/>
              <w:right w:val="nil"/>
            </w:tcBorders>
            <w:shd w:val="clear" w:color="auto" w:fill="auto"/>
            <w:hideMark/>
          </w:tcPr>
          <w:p w14:paraId="39F81DEF" w14:textId="77777777" w:rsidR="00230364" w:rsidRPr="00230364" w:rsidRDefault="00230364" w:rsidP="00230364">
            <w:pPr>
              <w:jc w:val="left"/>
              <w:rPr>
                <w:rFonts w:cs="Arial"/>
                <w:b/>
                <w:bCs/>
                <w:color w:val="000000"/>
                <w:sz w:val="24"/>
                <w:szCs w:val="24"/>
              </w:rPr>
            </w:pPr>
            <w:r w:rsidRPr="00230364">
              <w:rPr>
                <w:rFonts w:cs="Arial"/>
                <w:b/>
                <w:bCs/>
                <w:color w:val="000000"/>
                <w:sz w:val="24"/>
                <w:szCs w:val="24"/>
              </w:rPr>
              <w:t>Total Head of Neighbourhood Services</w:t>
            </w:r>
          </w:p>
        </w:tc>
        <w:tc>
          <w:tcPr>
            <w:tcW w:w="1380" w:type="dxa"/>
            <w:tcBorders>
              <w:top w:val="single" w:sz="4" w:space="0" w:color="auto"/>
              <w:left w:val="nil"/>
              <w:bottom w:val="nil"/>
              <w:right w:val="nil"/>
            </w:tcBorders>
            <w:shd w:val="clear" w:color="auto" w:fill="auto"/>
            <w:hideMark/>
          </w:tcPr>
          <w:p w14:paraId="7EA13BFA"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2,591</w:t>
            </w:r>
          </w:p>
        </w:tc>
        <w:tc>
          <w:tcPr>
            <w:tcW w:w="1380" w:type="dxa"/>
            <w:tcBorders>
              <w:top w:val="single" w:sz="4" w:space="0" w:color="auto"/>
              <w:left w:val="nil"/>
              <w:bottom w:val="nil"/>
              <w:right w:val="nil"/>
            </w:tcBorders>
            <w:shd w:val="clear" w:color="auto" w:fill="auto"/>
            <w:hideMark/>
          </w:tcPr>
          <w:p w14:paraId="0A86E414"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472</w:t>
            </w:r>
          </w:p>
        </w:tc>
        <w:tc>
          <w:tcPr>
            <w:tcW w:w="1380" w:type="dxa"/>
            <w:tcBorders>
              <w:top w:val="single" w:sz="4" w:space="0" w:color="auto"/>
              <w:left w:val="nil"/>
              <w:bottom w:val="nil"/>
              <w:right w:val="nil"/>
            </w:tcBorders>
            <w:shd w:val="clear" w:color="auto" w:fill="auto"/>
            <w:hideMark/>
          </w:tcPr>
          <w:p w14:paraId="73E88949"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472</w:t>
            </w:r>
          </w:p>
        </w:tc>
      </w:tr>
      <w:tr w:rsidR="00230364" w:rsidRPr="00230364" w14:paraId="2C7A160E" w14:textId="77777777" w:rsidTr="00230364">
        <w:trPr>
          <w:trHeight w:val="312"/>
        </w:trPr>
        <w:tc>
          <w:tcPr>
            <w:tcW w:w="4560" w:type="dxa"/>
            <w:tcBorders>
              <w:top w:val="nil"/>
              <w:left w:val="nil"/>
              <w:bottom w:val="nil"/>
              <w:right w:val="nil"/>
            </w:tcBorders>
            <w:shd w:val="clear" w:color="auto" w:fill="auto"/>
            <w:hideMark/>
          </w:tcPr>
          <w:p w14:paraId="65FCAE56" w14:textId="77777777" w:rsidR="00230364" w:rsidRPr="00230364" w:rsidRDefault="00230364" w:rsidP="00230364">
            <w:pPr>
              <w:jc w:val="center"/>
              <w:rPr>
                <w:rFonts w:cs="Arial"/>
                <w:b/>
                <w:bCs/>
                <w:color w:val="000000"/>
                <w:sz w:val="24"/>
                <w:szCs w:val="24"/>
              </w:rPr>
            </w:pPr>
          </w:p>
        </w:tc>
        <w:tc>
          <w:tcPr>
            <w:tcW w:w="1380" w:type="dxa"/>
            <w:tcBorders>
              <w:top w:val="nil"/>
              <w:left w:val="nil"/>
              <w:bottom w:val="nil"/>
              <w:right w:val="nil"/>
            </w:tcBorders>
            <w:shd w:val="clear" w:color="auto" w:fill="auto"/>
            <w:hideMark/>
          </w:tcPr>
          <w:p w14:paraId="29B8F435" w14:textId="77777777" w:rsidR="00230364" w:rsidRPr="00230364" w:rsidRDefault="00230364" w:rsidP="00230364">
            <w:pPr>
              <w:jc w:val="left"/>
              <w:rPr>
                <w:rFonts w:ascii="Times New Roman" w:hAnsi="Times New Roman"/>
                <w:sz w:val="20"/>
                <w:szCs w:val="20"/>
              </w:rPr>
            </w:pPr>
          </w:p>
        </w:tc>
        <w:tc>
          <w:tcPr>
            <w:tcW w:w="1380" w:type="dxa"/>
            <w:tcBorders>
              <w:top w:val="nil"/>
              <w:left w:val="nil"/>
              <w:bottom w:val="nil"/>
              <w:right w:val="nil"/>
            </w:tcBorders>
            <w:shd w:val="clear" w:color="auto" w:fill="auto"/>
            <w:hideMark/>
          </w:tcPr>
          <w:p w14:paraId="377D5C5D" w14:textId="77777777" w:rsidR="00230364" w:rsidRPr="00230364" w:rsidRDefault="00230364" w:rsidP="00230364">
            <w:pPr>
              <w:jc w:val="center"/>
              <w:rPr>
                <w:rFonts w:ascii="Times New Roman" w:hAnsi="Times New Roman"/>
                <w:sz w:val="20"/>
                <w:szCs w:val="20"/>
              </w:rPr>
            </w:pPr>
          </w:p>
        </w:tc>
        <w:tc>
          <w:tcPr>
            <w:tcW w:w="1380" w:type="dxa"/>
            <w:tcBorders>
              <w:top w:val="nil"/>
              <w:left w:val="nil"/>
              <w:bottom w:val="nil"/>
              <w:right w:val="nil"/>
            </w:tcBorders>
            <w:shd w:val="clear" w:color="auto" w:fill="auto"/>
            <w:hideMark/>
          </w:tcPr>
          <w:p w14:paraId="5F4D1DB8" w14:textId="77777777" w:rsidR="00230364" w:rsidRPr="00230364" w:rsidRDefault="00230364" w:rsidP="00230364">
            <w:pPr>
              <w:jc w:val="center"/>
              <w:rPr>
                <w:rFonts w:ascii="Times New Roman" w:hAnsi="Times New Roman"/>
                <w:sz w:val="20"/>
                <w:szCs w:val="20"/>
              </w:rPr>
            </w:pPr>
          </w:p>
        </w:tc>
      </w:tr>
      <w:tr w:rsidR="00230364" w:rsidRPr="00230364" w14:paraId="3333D39A" w14:textId="77777777" w:rsidTr="00230364">
        <w:trPr>
          <w:trHeight w:val="312"/>
        </w:trPr>
        <w:tc>
          <w:tcPr>
            <w:tcW w:w="4560" w:type="dxa"/>
            <w:tcBorders>
              <w:top w:val="nil"/>
              <w:left w:val="nil"/>
              <w:bottom w:val="nil"/>
              <w:right w:val="nil"/>
            </w:tcBorders>
            <w:shd w:val="clear" w:color="auto" w:fill="auto"/>
            <w:hideMark/>
          </w:tcPr>
          <w:p w14:paraId="62ACD460" w14:textId="77777777" w:rsidR="00230364" w:rsidRPr="00230364" w:rsidRDefault="00230364" w:rsidP="00230364">
            <w:pPr>
              <w:jc w:val="left"/>
              <w:rPr>
                <w:rFonts w:cs="Arial"/>
                <w:b/>
                <w:bCs/>
                <w:color w:val="000000"/>
                <w:sz w:val="24"/>
                <w:szCs w:val="24"/>
              </w:rPr>
            </w:pPr>
            <w:r w:rsidRPr="00230364">
              <w:rPr>
                <w:rFonts w:cs="Arial"/>
                <w:b/>
                <w:bCs/>
                <w:color w:val="000000"/>
                <w:sz w:val="24"/>
                <w:szCs w:val="24"/>
              </w:rPr>
              <w:t>Head of People and Transformation</w:t>
            </w:r>
          </w:p>
        </w:tc>
        <w:tc>
          <w:tcPr>
            <w:tcW w:w="1380" w:type="dxa"/>
            <w:tcBorders>
              <w:top w:val="nil"/>
              <w:left w:val="nil"/>
              <w:bottom w:val="nil"/>
              <w:right w:val="nil"/>
            </w:tcBorders>
            <w:shd w:val="clear" w:color="auto" w:fill="auto"/>
            <w:hideMark/>
          </w:tcPr>
          <w:p w14:paraId="1B5C570C" w14:textId="77777777" w:rsidR="00230364" w:rsidRPr="00230364" w:rsidRDefault="00230364" w:rsidP="00230364">
            <w:pPr>
              <w:jc w:val="left"/>
              <w:rPr>
                <w:rFonts w:cs="Arial"/>
                <w:b/>
                <w:bCs/>
                <w:color w:val="000000"/>
                <w:sz w:val="24"/>
                <w:szCs w:val="24"/>
              </w:rPr>
            </w:pPr>
          </w:p>
        </w:tc>
        <w:tc>
          <w:tcPr>
            <w:tcW w:w="1380" w:type="dxa"/>
            <w:tcBorders>
              <w:top w:val="nil"/>
              <w:left w:val="nil"/>
              <w:bottom w:val="nil"/>
              <w:right w:val="nil"/>
            </w:tcBorders>
            <w:shd w:val="clear" w:color="auto" w:fill="auto"/>
            <w:hideMark/>
          </w:tcPr>
          <w:p w14:paraId="4084179D" w14:textId="77777777" w:rsidR="00230364" w:rsidRPr="00230364" w:rsidRDefault="00230364" w:rsidP="00230364">
            <w:pPr>
              <w:jc w:val="center"/>
              <w:rPr>
                <w:rFonts w:ascii="Times New Roman" w:hAnsi="Times New Roman"/>
                <w:sz w:val="20"/>
                <w:szCs w:val="20"/>
              </w:rPr>
            </w:pPr>
          </w:p>
        </w:tc>
        <w:tc>
          <w:tcPr>
            <w:tcW w:w="1380" w:type="dxa"/>
            <w:tcBorders>
              <w:top w:val="nil"/>
              <w:left w:val="nil"/>
              <w:bottom w:val="nil"/>
              <w:right w:val="nil"/>
            </w:tcBorders>
            <w:shd w:val="clear" w:color="auto" w:fill="auto"/>
            <w:hideMark/>
          </w:tcPr>
          <w:p w14:paraId="268ABAFA" w14:textId="77777777" w:rsidR="00230364" w:rsidRPr="00230364" w:rsidRDefault="00230364" w:rsidP="00230364">
            <w:pPr>
              <w:jc w:val="center"/>
              <w:rPr>
                <w:rFonts w:ascii="Times New Roman" w:hAnsi="Times New Roman"/>
                <w:sz w:val="20"/>
                <w:szCs w:val="20"/>
              </w:rPr>
            </w:pPr>
          </w:p>
        </w:tc>
      </w:tr>
      <w:tr w:rsidR="00230364" w:rsidRPr="00230364" w14:paraId="7E6C5F43" w14:textId="77777777" w:rsidTr="00230364">
        <w:trPr>
          <w:trHeight w:val="300"/>
        </w:trPr>
        <w:tc>
          <w:tcPr>
            <w:tcW w:w="4560" w:type="dxa"/>
            <w:tcBorders>
              <w:top w:val="nil"/>
              <w:left w:val="nil"/>
              <w:bottom w:val="nil"/>
              <w:right w:val="nil"/>
            </w:tcBorders>
            <w:shd w:val="clear" w:color="auto" w:fill="auto"/>
            <w:hideMark/>
          </w:tcPr>
          <w:p w14:paraId="6649790F" w14:textId="77777777" w:rsidR="00230364" w:rsidRPr="00230364" w:rsidRDefault="00230364" w:rsidP="00230364">
            <w:pPr>
              <w:jc w:val="left"/>
              <w:rPr>
                <w:rFonts w:cs="Arial"/>
                <w:color w:val="000000"/>
                <w:sz w:val="24"/>
                <w:szCs w:val="24"/>
              </w:rPr>
            </w:pPr>
            <w:r w:rsidRPr="00230364">
              <w:rPr>
                <w:rFonts w:cs="Arial"/>
                <w:color w:val="000000"/>
                <w:sz w:val="24"/>
                <w:szCs w:val="24"/>
              </w:rPr>
              <w:t>Quarry Cliff Face</w:t>
            </w:r>
          </w:p>
        </w:tc>
        <w:tc>
          <w:tcPr>
            <w:tcW w:w="1380" w:type="dxa"/>
            <w:tcBorders>
              <w:top w:val="nil"/>
              <w:left w:val="nil"/>
              <w:bottom w:val="nil"/>
              <w:right w:val="nil"/>
            </w:tcBorders>
            <w:shd w:val="clear" w:color="auto" w:fill="auto"/>
            <w:hideMark/>
          </w:tcPr>
          <w:p w14:paraId="2BB6248B" w14:textId="77777777" w:rsidR="00230364" w:rsidRPr="00230364" w:rsidRDefault="00230364" w:rsidP="00230364">
            <w:pPr>
              <w:jc w:val="center"/>
              <w:rPr>
                <w:rFonts w:cs="Arial"/>
                <w:color w:val="000000"/>
                <w:sz w:val="24"/>
                <w:szCs w:val="24"/>
              </w:rPr>
            </w:pPr>
            <w:r w:rsidRPr="00230364">
              <w:rPr>
                <w:rFonts w:cs="Arial"/>
                <w:color w:val="000000"/>
                <w:sz w:val="24"/>
                <w:szCs w:val="24"/>
              </w:rPr>
              <w:t>1,255</w:t>
            </w:r>
          </w:p>
        </w:tc>
        <w:tc>
          <w:tcPr>
            <w:tcW w:w="1380" w:type="dxa"/>
            <w:tcBorders>
              <w:top w:val="nil"/>
              <w:left w:val="nil"/>
              <w:bottom w:val="nil"/>
              <w:right w:val="nil"/>
            </w:tcBorders>
            <w:shd w:val="clear" w:color="auto" w:fill="auto"/>
            <w:hideMark/>
          </w:tcPr>
          <w:p w14:paraId="05A4B826"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1B394081"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3918CAEB" w14:textId="77777777" w:rsidTr="00230364">
        <w:trPr>
          <w:trHeight w:val="624"/>
        </w:trPr>
        <w:tc>
          <w:tcPr>
            <w:tcW w:w="4560" w:type="dxa"/>
            <w:tcBorders>
              <w:top w:val="nil"/>
              <w:left w:val="nil"/>
              <w:bottom w:val="nil"/>
              <w:right w:val="nil"/>
            </w:tcBorders>
            <w:shd w:val="clear" w:color="auto" w:fill="auto"/>
            <w:hideMark/>
          </w:tcPr>
          <w:p w14:paraId="1E8F9BB5" w14:textId="77777777" w:rsidR="00230364" w:rsidRPr="00230364" w:rsidRDefault="00230364" w:rsidP="00230364">
            <w:pPr>
              <w:jc w:val="left"/>
              <w:rPr>
                <w:rFonts w:cs="Arial"/>
                <w:b/>
                <w:bCs/>
                <w:color w:val="000000"/>
                <w:sz w:val="24"/>
                <w:szCs w:val="24"/>
              </w:rPr>
            </w:pPr>
            <w:r w:rsidRPr="00230364">
              <w:rPr>
                <w:rFonts w:cs="Arial"/>
                <w:b/>
                <w:bCs/>
                <w:color w:val="000000"/>
                <w:sz w:val="24"/>
                <w:szCs w:val="24"/>
              </w:rPr>
              <w:t>Total Head of People and Transformation</w:t>
            </w:r>
          </w:p>
        </w:tc>
        <w:tc>
          <w:tcPr>
            <w:tcW w:w="1380" w:type="dxa"/>
            <w:tcBorders>
              <w:top w:val="single" w:sz="4" w:space="0" w:color="auto"/>
              <w:left w:val="nil"/>
              <w:bottom w:val="nil"/>
              <w:right w:val="nil"/>
            </w:tcBorders>
            <w:shd w:val="clear" w:color="auto" w:fill="auto"/>
            <w:hideMark/>
          </w:tcPr>
          <w:p w14:paraId="065526BB"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1,255</w:t>
            </w:r>
          </w:p>
        </w:tc>
        <w:tc>
          <w:tcPr>
            <w:tcW w:w="1380" w:type="dxa"/>
            <w:tcBorders>
              <w:top w:val="single" w:sz="4" w:space="0" w:color="auto"/>
              <w:left w:val="nil"/>
              <w:bottom w:val="nil"/>
              <w:right w:val="nil"/>
            </w:tcBorders>
            <w:shd w:val="clear" w:color="auto" w:fill="auto"/>
            <w:hideMark/>
          </w:tcPr>
          <w:p w14:paraId="0BBB7B59"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0</w:t>
            </w:r>
          </w:p>
        </w:tc>
        <w:tc>
          <w:tcPr>
            <w:tcW w:w="1380" w:type="dxa"/>
            <w:tcBorders>
              <w:top w:val="single" w:sz="4" w:space="0" w:color="auto"/>
              <w:left w:val="nil"/>
              <w:bottom w:val="nil"/>
              <w:right w:val="nil"/>
            </w:tcBorders>
            <w:shd w:val="clear" w:color="auto" w:fill="auto"/>
            <w:hideMark/>
          </w:tcPr>
          <w:p w14:paraId="3277CDA4"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0</w:t>
            </w:r>
          </w:p>
        </w:tc>
      </w:tr>
      <w:tr w:rsidR="00230364" w:rsidRPr="00230364" w14:paraId="7FC2CF44" w14:textId="77777777" w:rsidTr="00230364">
        <w:trPr>
          <w:trHeight w:val="300"/>
        </w:trPr>
        <w:tc>
          <w:tcPr>
            <w:tcW w:w="4560" w:type="dxa"/>
            <w:tcBorders>
              <w:top w:val="nil"/>
              <w:left w:val="nil"/>
              <w:bottom w:val="nil"/>
              <w:right w:val="nil"/>
            </w:tcBorders>
            <w:shd w:val="clear" w:color="auto" w:fill="auto"/>
            <w:hideMark/>
          </w:tcPr>
          <w:p w14:paraId="072D7802" w14:textId="77777777" w:rsidR="00230364" w:rsidRPr="00230364" w:rsidRDefault="00230364" w:rsidP="00230364">
            <w:pPr>
              <w:jc w:val="center"/>
              <w:rPr>
                <w:rFonts w:cs="Arial"/>
                <w:b/>
                <w:bCs/>
                <w:color w:val="000000"/>
                <w:sz w:val="24"/>
                <w:szCs w:val="24"/>
              </w:rPr>
            </w:pPr>
          </w:p>
        </w:tc>
        <w:tc>
          <w:tcPr>
            <w:tcW w:w="1380" w:type="dxa"/>
            <w:tcBorders>
              <w:top w:val="nil"/>
              <w:left w:val="nil"/>
              <w:bottom w:val="nil"/>
              <w:right w:val="nil"/>
            </w:tcBorders>
            <w:shd w:val="clear" w:color="auto" w:fill="auto"/>
            <w:hideMark/>
          </w:tcPr>
          <w:p w14:paraId="7661A802" w14:textId="77777777" w:rsidR="00230364" w:rsidRPr="00230364" w:rsidRDefault="00230364" w:rsidP="00230364">
            <w:pPr>
              <w:jc w:val="left"/>
              <w:rPr>
                <w:rFonts w:ascii="Times New Roman" w:hAnsi="Times New Roman"/>
                <w:sz w:val="20"/>
                <w:szCs w:val="20"/>
              </w:rPr>
            </w:pPr>
          </w:p>
        </w:tc>
        <w:tc>
          <w:tcPr>
            <w:tcW w:w="1380" w:type="dxa"/>
            <w:tcBorders>
              <w:top w:val="nil"/>
              <w:left w:val="nil"/>
              <w:bottom w:val="nil"/>
              <w:right w:val="nil"/>
            </w:tcBorders>
            <w:shd w:val="clear" w:color="auto" w:fill="auto"/>
            <w:hideMark/>
          </w:tcPr>
          <w:p w14:paraId="1B775947" w14:textId="77777777" w:rsidR="00230364" w:rsidRPr="00230364" w:rsidRDefault="00230364" w:rsidP="00230364">
            <w:pPr>
              <w:jc w:val="center"/>
              <w:rPr>
                <w:rFonts w:ascii="Times New Roman" w:hAnsi="Times New Roman"/>
                <w:sz w:val="20"/>
                <w:szCs w:val="20"/>
              </w:rPr>
            </w:pPr>
          </w:p>
        </w:tc>
        <w:tc>
          <w:tcPr>
            <w:tcW w:w="1380" w:type="dxa"/>
            <w:tcBorders>
              <w:top w:val="nil"/>
              <w:left w:val="nil"/>
              <w:bottom w:val="nil"/>
              <w:right w:val="nil"/>
            </w:tcBorders>
            <w:shd w:val="clear" w:color="auto" w:fill="auto"/>
            <w:hideMark/>
          </w:tcPr>
          <w:p w14:paraId="4CA8B8B5" w14:textId="77777777" w:rsidR="00230364" w:rsidRPr="00230364" w:rsidRDefault="00230364" w:rsidP="00230364">
            <w:pPr>
              <w:jc w:val="center"/>
              <w:rPr>
                <w:rFonts w:ascii="Times New Roman" w:hAnsi="Times New Roman"/>
                <w:sz w:val="20"/>
                <w:szCs w:val="20"/>
              </w:rPr>
            </w:pPr>
          </w:p>
        </w:tc>
      </w:tr>
      <w:tr w:rsidR="00230364" w:rsidRPr="00230364" w14:paraId="71271E96" w14:textId="77777777" w:rsidTr="00230364">
        <w:trPr>
          <w:trHeight w:val="312"/>
        </w:trPr>
        <w:tc>
          <w:tcPr>
            <w:tcW w:w="4560" w:type="dxa"/>
            <w:tcBorders>
              <w:top w:val="nil"/>
              <w:left w:val="nil"/>
              <w:bottom w:val="nil"/>
              <w:right w:val="nil"/>
            </w:tcBorders>
            <w:shd w:val="clear" w:color="auto" w:fill="auto"/>
            <w:hideMark/>
          </w:tcPr>
          <w:p w14:paraId="6F9669E6" w14:textId="77777777" w:rsidR="00230364" w:rsidRPr="00230364" w:rsidRDefault="00230364" w:rsidP="00230364">
            <w:pPr>
              <w:jc w:val="left"/>
              <w:rPr>
                <w:rFonts w:cs="Arial"/>
                <w:b/>
                <w:bCs/>
                <w:color w:val="000000"/>
                <w:sz w:val="24"/>
                <w:szCs w:val="24"/>
              </w:rPr>
            </w:pPr>
            <w:r w:rsidRPr="00230364">
              <w:rPr>
                <w:rFonts w:cs="Arial"/>
                <w:b/>
                <w:bCs/>
                <w:color w:val="000000"/>
                <w:sz w:val="24"/>
                <w:szCs w:val="24"/>
              </w:rPr>
              <w:t>Head of Planning and Regeneration</w:t>
            </w:r>
          </w:p>
        </w:tc>
        <w:tc>
          <w:tcPr>
            <w:tcW w:w="1380" w:type="dxa"/>
            <w:tcBorders>
              <w:top w:val="nil"/>
              <w:left w:val="nil"/>
              <w:bottom w:val="nil"/>
              <w:right w:val="nil"/>
            </w:tcBorders>
            <w:shd w:val="clear" w:color="auto" w:fill="auto"/>
            <w:hideMark/>
          </w:tcPr>
          <w:p w14:paraId="786982AE" w14:textId="77777777" w:rsidR="00230364" w:rsidRPr="00230364" w:rsidRDefault="00230364" w:rsidP="00230364">
            <w:pPr>
              <w:jc w:val="left"/>
              <w:rPr>
                <w:rFonts w:cs="Arial"/>
                <w:b/>
                <w:bCs/>
                <w:color w:val="000000"/>
                <w:sz w:val="24"/>
                <w:szCs w:val="24"/>
              </w:rPr>
            </w:pPr>
          </w:p>
        </w:tc>
        <w:tc>
          <w:tcPr>
            <w:tcW w:w="1380" w:type="dxa"/>
            <w:tcBorders>
              <w:top w:val="nil"/>
              <w:left w:val="nil"/>
              <w:bottom w:val="nil"/>
              <w:right w:val="nil"/>
            </w:tcBorders>
            <w:shd w:val="clear" w:color="auto" w:fill="auto"/>
            <w:hideMark/>
          </w:tcPr>
          <w:p w14:paraId="02C73D3C" w14:textId="77777777" w:rsidR="00230364" w:rsidRPr="00230364" w:rsidRDefault="00230364" w:rsidP="00230364">
            <w:pPr>
              <w:jc w:val="center"/>
              <w:rPr>
                <w:rFonts w:ascii="Times New Roman" w:hAnsi="Times New Roman"/>
                <w:sz w:val="20"/>
                <w:szCs w:val="20"/>
              </w:rPr>
            </w:pPr>
          </w:p>
        </w:tc>
        <w:tc>
          <w:tcPr>
            <w:tcW w:w="1380" w:type="dxa"/>
            <w:tcBorders>
              <w:top w:val="nil"/>
              <w:left w:val="nil"/>
              <w:bottom w:val="nil"/>
              <w:right w:val="nil"/>
            </w:tcBorders>
            <w:shd w:val="clear" w:color="auto" w:fill="auto"/>
            <w:hideMark/>
          </w:tcPr>
          <w:p w14:paraId="3084C931" w14:textId="77777777" w:rsidR="00230364" w:rsidRPr="00230364" w:rsidRDefault="00230364" w:rsidP="00230364">
            <w:pPr>
              <w:jc w:val="center"/>
              <w:rPr>
                <w:rFonts w:ascii="Times New Roman" w:hAnsi="Times New Roman"/>
                <w:sz w:val="20"/>
                <w:szCs w:val="20"/>
              </w:rPr>
            </w:pPr>
          </w:p>
        </w:tc>
      </w:tr>
      <w:tr w:rsidR="00230364" w:rsidRPr="00230364" w14:paraId="5CEA5C25" w14:textId="77777777" w:rsidTr="00230364">
        <w:trPr>
          <w:trHeight w:val="300"/>
        </w:trPr>
        <w:tc>
          <w:tcPr>
            <w:tcW w:w="4560" w:type="dxa"/>
            <w:tcBorders>
              <w:top w:val="nil"/>
              <w:left w:val="nil"/>
              <w:bottom w:val="nil"/>
              <w:right w:val="nil"/>
            </w:tcBorders>
            <w:shd w:val="clear" w:color="auto" w:fill="auto"/>
            <w:hideMark/>
          </w:tcPr>
          <w:p w14:paraId="04CD63C5" w14:textId="77777777" w:rsidR="00230364" w:rsidRPr="00230364" w:rsidRDefault="00230364" w:rsidP="00230364">
            <w:pPr>
              <w:jc w:val="left"/>
              <w:rPr>
                <w:rFonts w:cs="Arial"/>
                <w:color w:val="000000"/>
                <w:sz w:val="24"/>
                <w:szCs w:val="24"/>
              </w:rPr>
            </w:pPr>
            <w:r w:rsidRPr="00230364">
              <w:rPr>
                <w:rFonts w:cs="Arial"/>
                <w:color w:val="000000"/>
                <w:sz w:val="24"/>
                <w:szCs w:val="24"/>
              </w:rPr>
              <w:t xml:space="preserve">Town Hall Redevelopment </w:t>
            </w:r>
          </w:p>
        </w:tc>
        <w:tc>
          <w:tcPr>
            <w:tcW w:w="1380" w:type="dxa"/>
            <w:tcBorders>
              <w:top w:val="nil"/>
              <w:left w:val="nil"/>
              <w:bottom w:val="nil"/>
              <w:right w:val="nil"/>
            </w:tcBorders>
            <w:shd w:val="clear" w:color="auto" w:fill="auto"/>
            <w:hideMark/>
          </w:tcPr>
          <w:p w14:paraId="56793908" w14:textId="77777777" w:rsidR="00230364" w:rsidRPr="00230364" w:rsidRDefault="00230364" w:rsidP="00230364">
            <w:pPr>
              <w:jc w:val="center"/>
              <w:rPr>
                <w:rFonts w:cs="Arial"/>
                <w:color w:val="000000"/>
                <w:sz w:val="24"/>
                <w:szCs w:val="24"/>
              </w:rPr>
            </w:pPr>
            <w:r w:rsidRPr="00230364">
              <w:rPr>
                <w:rFonts w:cs="Arial"/>
                <w:color w:val="000000"/>
                <w:sz w:val="24"/>
                <w:szCs w:val="24"/>
              </w:rPr>
              <w:t>36</w:t>
            </w:r>
          </w:p>
        </w:tc>
        <w:tc>
          <w:tcPr>
            <w:tcW w:w="1380" w:type="dxa"/>
            <w:tcBorders>
              <w:top w:val="nil"/>
              <w:left w:val="nil"/>
              <w:bottom w:val="nil"/>
              <w:right w:val="nil"/>
            </w:tcBorders>
            <w:shd w:val="clear" w:color="auto" w:fill="auto"/>
            <w:hideMark/>
          </w:tcPr>
          <w:p w14:paraId="038DD827"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73AA0763"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0529FB16" w14:textId="77777777" w:rsidTr="00230364">
        <w:trPr>
          <w:trHeight w:val="300"/>
        </w:trPr>
        <w:tc>
          <w:tcPr>
            <w:tcW w:w="4560" w:type="dxa"/>
            <w:tcBorders>
              <w:top w:val="nil"/>
              <w:left w:val="nil"/>
              <w:bottom w:val="nil"/>
              <w:right w:val="nil"/>
            </w:tcBorders>
            <w:shd w:val="clear" w:color="auto" w:fill="auto"/>
            <w:hideMark/>
          </w:tcPr>
          <w:p w14:paraId="25DDE8F6" w14:textId="77777777" w:rsidR="00230364" w:rsidRPr="00230364" w:rsidRDefault="00230364" w:rsidP="00230364">
            <w:pPr>
              <w:jc w:val="left"/>
              <w:rPr>
                <w:rFonts w:cs="Arial"/>
                <w:color w:val="000000"/>
                <w:sz w:val="24"/>
                <w:szCs w:val="24"/>
              </w:rPr>
            </w:pPr>
            <w:r w:rsidRPr="00230364">
              <w:rPr>
                <w:rFonts w:cs="Arial"/>
                <w:color w:val="000000"/>
                <w:sz w:val="24"/>
                <w:szCs w:val="24"/>
              </w:rPr>
              <w:t>Mansfield Townscape HLF Funded</w:t>
            </w:r>
          </w:p>
        </w:tc>
        <w:tc>
          <w:tcPr>
            <w:tcW w:w="1380" w:type="dxa"/>
            <w:tcBorders>
              <w:top w:val="nil"/>
              <w:left w:val="nil"/>
              <w:bottom w:val="nil"/>
              <w:right w:val="nil"/>
            </w:tcBorders>
            <w:shd w:val="clear" w:color="auto" w:fill="auto"/>
            <w:hideMark/>
          </w:tcPr>
          <w:p w14:paraId="4D3EDFF6" w14:textId="77777777" w:rsidR="00230364" w:rsidRPr="00230364" w:rsidRDefault="00230364" w:rsidP="00230364">
            <w:pPr>
              <w:jc w:val="center"/>
              <w:rPr>
                <w:rFonts w:cs="Arial"/>
                <w:color w:val="000000"/>
                <w:sz w:val="24"/>
                <w:szCs w:val="24"/>
              </w:rPr>
            </w:pPr>
            <w:r w:rsidRPr="00230364">
              <w:rPr>
                <w:rFonts w:cs="Arial"/>
                <w:color w:val="000000"/>
                <w:sz w:val="24"/>
                <w:szCs w:val="24"/>
              </w:rPr>
              <w:t>500</w:t>
            </w:r>
          </w:p>
        </w:tc>
        <w:tc>
          <w:tcPr>
            <w:tcW w:w="1380" w:type="dxa"/>
            <w:tcBorders>
              <w:top w:val="nil"/>
              <w:left w:val="nil"/>
              <w:bottom w:val="nil"/>
              <w:right w:val="nil"/>
            </w:tcBorders>
            <w:shd w:val="clear" w:color="auto" w:fill="auto"/>
            <w:hideMark/>
          </w:tcPr>
          <w:p w14:paraId="0022BBDC"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4F8D9214"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17BA31FD" w14:textId="77777777" w:rsidTr="00230364">
        <w:trPr>
          <w:trHeight w:val="300"/>
        </w:trPr>
        <w:tc>
          <w:tcPr>
            <w:tcW w:w="4560" w:type="dxa"/>
            <w:tcBorders>
              <w:top w:val="nil"/>
              <w:left w:val="nil"/>
              <w:bottom w:val="nil"/>
              <w:right w:val="nil"/>
            </w:tcBorders>
            <w:shd w:val="clear" w:color="auto" w:fill="auto"/>
            <w:hideMark/>
          </w:tcPr>
          <w:p w14:paraId="3692397C" w14:textId="77777777" w:rsidR="00230364" w:rsidRPr="00230364" w:rsidRDefault="00230364" w:rsidP="00230364">
            <w:pPr>
              <w:jc w:val="left"/>
              <w:rPr>
                <w:rFonts w:cs="Arial"/>
                <w:color w:val="000000"/>
                <w:sz w:val="24"/>
                <w:szCs w:val="24"/>
              </w:rPr>
            </w:pPr>
            <w:proofErr w:type="spellStart"/>
            <w:r w:rsidRPr="00230364">
              <w:rPr>
                <w:rFonts w:cs="Arial"/>
                <w:color w:val="000000"/>
                <w:sz w:val="24"/>
                <w:szCs w:val="24"/>
              </w:rPr>
              <w:t>Walken</w:t>
            </w:r>
            <w:proofErr w:type="spellEnd"/>
            <w:r w:rsidRPr="00230364">
              <w:rPr>
                <w:rFonts w:cs="Arial"/>
                <w:color w:val="000000"/>
                <w:sz w:val="24"/>
                <w:szCs w:val="24"/>
              </w:rPr>
              <w:t xml:space="preserve"> Street Car Park Cladding </w:t>
            </w:r>
          </w:p>
        </w:tc>
        <w:tc>
          <w:tcPr>
            <w:tcW w:w="1380" w:type="dxa"/>
            <w:tcBorders>
              <w:top w:val="nil"/>
              <w:left w:val="nil"/>
              <w:bottom w:val="nil"/>
              <w:right w:val="nil"/>
            </w:tcBorders>
            <w:shd w:val="clear" w:color="auto" w:fill="auto"/>
            <w:hideMark/>
          </w:tcPr>
          <w:p w14:paraId="22B41042" w14:textId="77777777" w:rsidR="00230364" w:rsidRPr="00230364" w:rsidRDefault="00230364" w:rsidP="00230364">
            <w:pPr>
              <w:jc w:val="center"/>
              <w:rPr>
                <w:rFonts w:cs="Arial"/>
                <w:color w:val="000000"/>
                <w:sz w:val="24"/>
                <w:szCs w:val="24"/>
              </w:rPr>
            </w:pPr>
            <w:r w:rsidRPr="00230364">
              <w:rPr>
                <w:rFonts w:cs="Arial"/>
                <w:color w:val="000000"/>
                <w:sz w:val="24"/>
                <w:szCs w:val="24"/>
              </w:rPr>
              <w:t>100</w:t>
            </w:r>
          </w:p>
        </w:tc>
        <w:tc>
          <w:tcPr>
            <w:tcW w:w="1380" w:type="dxa"/>
            <w:tcBorders>
              <w:top w:val="nil"/>
              <w:left w:val="nil"/>
              <w:bottom w:val="nil"/>
              <w:right w:val="nil"/>
            </w:tcBorders>
            <w:shd w:val="clear" w:color="auto" w:fill="auto"/>
            <w:hideMark/>
          </w:tcPr>
          <w:p w14:paraId="70E06F04"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6D0FF1C0"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167BC96F" w14:textId="77777777" w:rsidTr="00230364">
        <w:trPr>
          <w:trHeight w:val="300"/>
        </w:trPr>
        <w:tc>
          <w:tcPr>
            <w:tcW w:w="4560" w:type="dxa"/>
            <w:tcBorders>
              <w:top w:val="nil"/>
              <w:left w:val="nil"/>
              <w:bottom w:val="nil"/>
              <w:right w:val="nil"/>
            </w:tcBorders>
            <w:shd w:val="clear" w:color="auto" w:fill="auto"/>
            <w:hideMark/>
          </w:tcPr>
          <w:p w14:paraId="5D1C654A" w14:textId="77777777" w:rsidR="00230364" w:rsidRPr="00230364" w:rsidRDefault="00230364" w:rsidP="00230364">
            <w:pPr>
              <w:jc w:val="left"/>
              <w:rPr>
                <w:rFonts w:cs="Arial"/>
                <w:color w:val="000000"/>
                <w:sz w:val="24"/>
                <w:szCs w:val="24"/>
              </w:rPr>
            </w:pPr>
            <w:proofErr w:type="spellStart"/>
            <w:r w:rsidRPr="00230364">
              <w:rPr>
                <w:rFonts w:cs="Arial"/>
                <w:color w:val="000000"/>
                <w:sz w:val="24"/>
                <w:szCs w:val="24"/>
              </w:rPr>
              <w:t>Walken</w:t>
            </w:r>
            <w:proofErr w:type="spellEnd"/>
            <w:r w:rsidRPr="00230364">
              <w:rPr>
                <w:rFonts w:cs="Arial"/>
                <w:color w:val="000000"/>
                <w:sz w:val="24"/>
                <w:szCs w:val="24"/>
              </w:rPr>
              <w:t xml:space="preserve"> Street Car Park Resurfacing</w:t>
            </w:r>
          </w:p>
        </w:tc>
        <w:tc>
          <w:tcPr>
            <w:tcW w:w="1380" w:type="dxa"/>
            <w:tcBorders>
              <w:top w:val="nil"/>
              <w:left w:val="nil"/>
              <w:bottom w:val="nil"/>
              <w:right w:val="nil"/>
            </w:tcBorders>
            <w:shd w:val="clear" w:color="auto" w:fill="auto"/>
            <w:hideMark/>
          </w:tcPr>
          <w:p w14:paraId="2566B26F" w14:textId="77777777" w:rsidR="00230364" w:rsidRPr="00230364" w:rsidRDefault="00230364" w:rsidP="00230364">
            <w:pPr>
              <w:jc w:val="center"/>
              <w:rPr>
                <w:rFonts w:cs="Arial"/>
                <w:color w:val="000000"/>
                <w:sz w:val="24"/>
                <w:szCs w:val="24"/>
              </w:rPr>
            </w:pPr>
            <w:r w:rsidRPr="00230364">
              <w:rPr>
                <w:rFonts w:cs="Arial"/>
                <w:color w:val="000000"/>
                <w:sz w:val="24"/>
                <w:szCs w:val="24"/>
              </w:rPr>
              <w:t>200</w:t>
            </w:r>
          </w:p>
        </w:tc>
        <w:tc>
          <w:tcPr>
            <w:tcW w:w="1380" w:type="dxa"/>
            <w:tcBorders>
              <w:top w:val="nil"/>
              <w:left w:val="nil"/>
              <w:bottom w:val="nil"/>
              <w:right w:val="nil"/>
            </w:tcBorders>
            <w:shd w:val="clear" w:color="auto" w:fill="auto"/>
            <w:hideMark/>
          </w:tcPr>
          <w:p w14:paraId="6FD80B09" w14:textId="77777777" w:rsidR="00230364" w:rsidRPr="00230364" w:rsidRDefault="00230364" w:rsidP="00230364">
            <w:pPr>
              <w:jc w:val="center"/>
              <w:rPr>
                <w:rFonts w:cs="Arial"/>
                <w:color w:val="000000"/>
                <w:sz w:val="24"/>
                <w:szCs w:val="24"/>
              </w:rPr>
            </w:pPr>
            <w:r w:rsidRPr="00230364">
              <w:rPr>
                <w:rFonts w:cs="Arial"/>
                <w:color w:val="000000"/>
                <w:sz w:val="24"/>
                <w:szCs w:val="24"/>
              </w:rPr>
              <w:t>300</w:t>
            </w:r>
          </w:p>
        </w:tc>
        <w:tc>
          <w:tcPr>
            <w:tcW w:w="1380" w:type="dxa"/>
            <w:tcBorders>
              <w:top w:val="nil"/>
              <w:left w:val="nil"/>
              <w:bottom w:val="nil"/>
              <w:right w:val="nil"/>
            </w:tcBorders>
            <w:shd w:val="clear" w:color="auto" w:fill="auto"/>
            <w:hideMark/>
          </w:tcPr>
          <w:p w14:paraId="4E2C59BF"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6547BEB0" w14:textId="77777777" w:rsidTr="00230364">
        <w:trPr>
          <w:trHeight w:val="300"/>
        </w:trPr>
        <w:tc>
          <w:tcPr>
            <w:tcW w:w="4560" w:type="dxa"/>
            <w:tcBorders>
              <w:top w:val="nil"/>
              <w:left w:val="nil"/>
              <w:bottom w:val="nil"/>
              <w:right w:val="nil"/>
            </w:tcBorders>
            <w:shd w:val="clear" w:color="auto" w:fill="auto"/>
            <w:hideMark/>
          </w:tcPr>
          <w:p w14:paraId="25EB6105" w14:textId="77777777" w:rsidR="00230364" w:rsidRPr="00230364" w:rsidRDefault="00230364" w:rsidP="00230364">
            <w:pPr>
              <w:jc w:val="left"/>
              <w:rPr>
                <w:rFonts w:cs="Arial"/>
                <w:color w:val="000000"/>
                <w:sz w:val="24"/>
                <w:szCs w:val="24"/>
              </w:rPr>
            </w:pPr>
            <w:proofErr w:type="spellStart"/>
            <w:r w:rsidRPr="00230364">
              <w:rPr>
                <w:rFonts w:cs="Arial"/>
                <w:color w:val="000000"/>
                <w:sz w:val="24"/>
                <w:szCs w:val="24"/>
              </w:rPr>
              <w:t>Walken</w:t>
            </w:r>
            <w:proofErr w:type="spellEnd"/>
            <w:r w:rsidRPr="00230364">
              <w:rPr>
                <w:rFonts w:cs="Arial"/>
                <w:color w:val="000000"/>
                <w:sz w:val="24"/>
                <w:szCs w:val="24"/>
              </w:rPr>
              <w:t xml:space="preserve"> Street Car Park Lifts</w:t>
            </w:r>
          </w:p>
        </w:tc>
        <w:tc>
          <w:tcPr>
            <w:tcW w:w="1380" w:type="dxa"/>
            <w:tcBorders>
              <w:top w:val="nil"/>
              <w:left w:val="nil"/>
              <w:bottom w:val="nil"/>
              <w:right w:val="nil"/>
            </w:tcBorders>
            <w:shd w:val="clear" w:color="auto" w:fill="auto"/>
            <w:hideMark/>
          </w:tcPr>
          <w:p w14:paraId="51F5D169" w14:textId="77777777" w:rsidR="00230364" w:rsidRPr="00230364" w:rsidRDefault="00230364" w:rsidP="00230364">
            <w:pPr>
              <w:jc w:val="center"/>
              <w:rPr>
                <w:rFonts w:cs="Arial"/>
                <w:color w:val="000000"/>
                <w:sz w:val="24"/>
                <w:szCs w:val="24"/>
              </w:rPr>
            </w:pPr>
            <w:r w:rsidRPr="00230364">
              <w:rPr>
                <w:rFonts w:cs="Arial"/>
                <w:color w:val="000000"/>
                <w:sz w:val="24"/>
                <w:szCs w:val="24"/>
              </w:rPr>
              <w:t>300</w:t>
            </w:r>
          </w:p>
        </w:tc>
        <w:tc>
          <w:tcPr>
            <w:tcW w:w="1380" w:type="dxa"/>
            <w:tcBorders>
              <w:top w:val="nil"/>
              <w:left w:val="nil"/>
              <w:bottom w:val="nil"/>
              <w:right w:val="nil"/>
            </w:tcBorders>
            <w:shd w:val="clear" w:color="auto" w:fill="auto"/>
            <w:hideMark/>
          </w:tcPr>
          <w:p w14:paraId="5E6F85C1" w14:textId="77777777" w:rsidR="00230364" w:rsidRPr="00230364" w:rsidRDefault="00230364" w:rsidP="00230364">
            <w:pPr>
              <w:jc w:val="center"/>
              <w:rPr>
                <w:rFonts w:cs="Arial"/>
                <w:color w:val="000000"/>
                <w:sz w:val="24"/>
                <w:szCs w:val="24"/>
              </w:rPr>
            </w:pPr>
            <w:r w:rsidRPr="00230364">
              <w:rPr>
                <w:rFonts w:cs="Arial"/>
                <w:color w:val="000000"/>
                <w:sz w:val="24"/>
                <w:szCs w:val="24"/>
              </w:rPr>
              <w:t>150</w:t>
            </w:r>
          </w:p>
        </w:tc>
        <w:tc>
          <w:tcPr>
            <w:tcW w:w="1380" w:type="dxa"/>
            <w:tcBorders>
              <w:top w:val="nil"/>
              <w:left w:val="nil"/>
              <w:bottom w:val="nil"/>
              <w:right w:val="nil"/>
            </w:tcBorders>
            <w:shd w:val="clear" w:color="auto" w:fill="auto"/>
            <w:hideMark/>
          </w:tcPr>
          <w:p w14:paraId="776B2A6E"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43075CF8" w14:textId="77777777" w:rsidTr="00230364">
        <w:trPr>
          <w:trHeight w:val="600"/>
        </w:trPr>
        <w:tc>
          <w:tcPr>
            <w:tcW w:w="4560" w:type="dxa"/>
            <w:tcBorders>
              <w:top w:val="nil"/>
              <w:left w:val="nil"/>
              <w:bottom w:val="nil"/>
              <w:right w:val="nil"/>
            </w:tcBorders>
            <w:shd w:val="clear" w:color="auto" w:fill="auto"/>
            <w:hideMark/>
          </w:tcPr>
          <w:p w14:paraId="0C6B422D" w14:textId="77777777" w:rsidR="00230364" w:rsidRPr="00230364" w:rsidRDefault="00230364" w:rsidP="00230364">
            <w:pPr>
              <w:jc w:val="left"/>
              <w:rPr>
                <w:rFonts w:cs="Arial"/>
                <w:color w:val="000000"/>
                <w:sz w:val="24"/>
                <w:szCs w:val="24"/>
              </w:rPr>
            </w:pPr>
            <w:r w:rsidRPr="00230364">
              <w:rPr>
                <w:rFonts w:cs="Arial"/>
                <w:color w:val="000000"/>
                <w:sz w:val="24"/>
                <w:szCs w:val="24"/>
              </w:rPr>
              <w:t>Four Seasons Car Park Concrete Repairs</w:t>
            </w:r>
          </w:p>
        </w:tc>
        <w:tc>
          <w:tcPr>
            <w:tcW w:w="1380" w:type="dxa"/>
            <w:tcBorders>
              <w:top w:val="nil"/>
              <w:left w:val="nil"/>
              <w:bottom w:val="nil"/>
              <w:right w:val="nil"/>
            </w:tcBorders>
            <w:shd w:val="clear" w:color="auto" w:fill="auto"/>
            <w:hideMark/>
          </w:tcPr>
          <w:p w14:paraId="09D682D4"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0565C7A0" w14:textId="77777777" w:rsidR="00230364" w:rsidRPr="00230364" w:rsidRDefault="00230364" w:rsidP="00230364">
            <w:pPr>
              <w:jc w:val="center"/>
              <w:rPr>
                <w:rFonts w:cs="Arial"/>
                <w:color w:val="000000"/>
                <w:sz w:val="24"/>
                <w:szCs w:val="24"/>
              </w:rPr>
            </w:pPr>
            <w:r w:rsidRPr="00230364">
              <w:rPr>
                <w:rFonts w:cs="Arial"/>
                <w:color w:val="000000"/>
                <w:sz w:val="24"/>
                <w:szCs w:val="24"/>
              </w:rPr>
              <w:t>70</w:t>
            </w:r>
          </w:p>
        </w:tc>
        <w:tc>
          <w:tcPr>
            <w:tcW w:w="1380" w:type="dxa"/>
            <w:tcBorders>
              <w:top w:val="nil"/>
              <w:left w:val="nil"/>
              <w:bottom w:val="nil"/>
              <w:right w:val="nil"/>
            </w:tcBorders>
            <w:shd w:val="clear" w:color="auto" w:fill="auto"/>
            <w:hideMark/>
          </w:tcPr>
          <w:p w14:paraId="2CA7F8FA"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49A1300F" w14:textId="77777777" w:rsidTr="00230364">
        <w:trPr>
          <w:trHeight w:val="600"/>
        </w:trPr>
        <w:tc>
          <w:tcPr>
            <w:tcW w:w="4560" w:type="dxa"/>
            <w:tcBorders>
              <w:top w:val="nil"/>
              <w:left w:val="nil"/>
              <w:bottom w:val="nil"/>
              <w:right w:val="nil"/>
            </w:tcBorders>
            <w:shd w:val="clear" w:color="auto" w:fill="auto"/>
            <w:hideMark/>
          </w:tcPr>
          <w:p w14:paraId="0C86813F" w14:textId="77777777" w:rsidR="00230364" w:rsidRPr="00230364" w:rsidRDefault="00230364" w:rsidP="00230364">
            <w:pPr>
              <w:jc w:val="left"/>
              <w:rPr>
                <w:rFonts w:cs="Arial"/>
                <w:color w:val="000000"/>
                <w:sz w:val="24"/>
                <w:szCs w:val="24"/>
              </w:rPr>
            </w:pPr>
            <w:r w:rsidRPr="00230364">
              <w:rPr>
                <w:rFonts w:cs="Arial"/>
                <w:color w:val="000000"/>
                <w:sz w:val="24"/>
                <w:szCs w:val="24"/>
              </w:rPr>
              <w:lastRenderedPageBreak/>
              <w:t xml:space="preserve">Four Seasons Car Park Resurfacing Upper </w:t>
            </w:r>
          </w:p>
        </w:tc>
        <w:tc>
          <w:tcPr>
            <w:tcW w:w="1380" w:type="dxa"/>
            <w:tcBorders>
              <w:top w:val="nil"/>
              <w:left w:val="nil"/>
              <w:bottom w:val="nil"/>
              <w:right w:val="nil"/>
            </w:tcBorders>
            <w:shd w:val="clear" w:color="auto" w:fill="auto"/>
            <w:hideMark/>
          </w:tcPr>
          <w:p w14:paraId="1F18F7A0" w14:textId="77777777" w:rsidR="00230364" w:rsidRPr="00230364" w:rsidRDefault="00230364" w:rsidP="00230364">
            <w:pPr>
              <w:jc w:val="center"/>
              <w:rPr>
                <w:rFonts w:cs="Arial"/>
                <w:color w:val="000000"/>
                <w:sz w:val="24"/>
                <w:szCs w:val="24"/>
              </w:rPr>
            </w:pPr>
            <w:r w:rsidRPr="00230364">
              <w:rPr>
                <w:rFonts w:cs="Arial"/>
                <w:color w:val="000000"/>
                <w:sz w:val="24"/>
                <w:szCs w:val="24"/>
              </w:rPr>
              <w:t>300</w:t>
            </w:r>
          </w:p>
        </w:tc>
        <w:tc>
          <w:tcPr>
            <w:tcW w:w="1380" w:type="dxa"/>
            <w:tcBorders>
              <w:top w:val="nil"/>
              <w:left w:val="nil"/>
              <w:bottom w:val="nil"/>
              <w:right w:val="nil"/>
            </w:tcBorders>
            <w:shd w:val="clear" w:color="auto" w:fill="auto"/>
            <w:hideMark/>
          </w:tcPr>
          <w:p w14:paraId="1BE06F46" w14:textId="77777777" w:rsidR="00230364" w:rsidRPr="00230364" w:rsidRDefault="00230364" w:rsidP="00230364">
            <w:pPr>
              <w:jc w:val="center"/>
              <w:rPr>
                <w:rFonts w:cs="Arial"/>
                <w:color w:val="000000"/>
                <w:sz w:val="24"/>
                <w:szCs w:val="24"/>
              </w:rPr>
            </w:pPr>
            <w:r w:rsidRPr="00230364">
              <w:rPr>
                <w:rFonts w:cs="Arial"/>
                <w:color w:val="000000"/>
                <w:sz w:val="24"/>
                <w:szCs w:val="24"/>
              </w:rPr>
              <w:t>150</w:t>
            </w:r>
          </w:p>
        </w:tc>
        <w:tc>
          <w:tcPr>
            <w:tcW w:w="1380" w:type="dxa"/>
            <w:tcBorders>
              <w:top w:val="nil"/>
              <w:left w:val="nil"/>
              <w:bottom w:val="nil"/>
              <w:right w:val="nil"/>
            </w:tcBorders>
            <w:shd w:val="clear" w:color="auto" w:fill="auto"/>
            <w:hideMark/>
          </w:tcPr>
          <w:p w14:paraId="0C19821C"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73136631" w14:textId="77777777" w:rsidTr="00230364">
        <w:trPr>
          <w:trHeight w:val="600"/>
        </w:trPr>
        <w:tc>
          <w:tcPr>
            <w:tcW w:w="4560" w:type="dxa"/>
            <w:tcBorders>
              <w:top w:val="nil"/>
              <w:left w:val="nil"/>
              <w:bottom w:val="nil"/>
              <w:right w:val="nil"/>
            </w:tcBorders>
            <w:shd w:val="clear" w:color="auto" w:fill="auto"/>
            <w:hideMark/>
          </w:tcPr>
          <w:p w14:paraId="47BD78A7" w14:textId="77777777" w:rsidR="00230364" w:rsidRPr="00230364" w:rsidRDefault="00230364" w:rsidP="00230364">
            <w:pPr>
              <w:jc w:val="left"/>
              <w:rPr>
                <w:rFonts w:cs="Arial"/>
                <w:color w:val="000000"/>
                <w:sz w:val="24"/>
                <w:szCs w:val="24"/>
              </w:rPr>
            </w:pPr>
            <w:r w:rsidRPr="00230364">
              <w:rPr>
                <w:rFonts w:cs="Arial"/>
                <w:color w:val="000000"/>
                <w:sz w:val="24"/>
                <w:szCs w:val="24"/>
              </w:rPr>
              <w:t>Four Seasons Car Park Resurfacing Mid /Lower</w:t>
            </w:r>
          </w:p>
        </w:tc>
        <w:tc>
          <w:tcPr>
            <w:tcW w:w="1380" w:type="dxa"/>
            <w:tcBorders>
              <w:top w:val="nil"/>
              <w:left w:val="nil"/>
              <w:bottom w:val="nil"/>
              <w:right w:val="nil"/>
            </w:tcBorders>
            <w:shd w:val="clear" w:color="auto" w:fill="auto"/>
            <w:hideMark/>
          </w:tcPr>
          <w:p w14:paraId="4ACA8A44"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5727263F" w14:textId="77777777" w:rsidR="00230364" w:rsidRPr="00230364" w:rsidRDefault="00230364" w:rsidP="00230364">
            <w:pPr>
              <w:jc w:val="center"/>
              <w:rPr>
                <w:rFonts w:cs="Arial"/>
                <w:color w:val="000000"/>
                <w:sz w:val="24"/>
                <w:szCs w:val="24"/>
              </w:rPr>
            </w:pPr>
            <w:r w:rsidRPr="00230364">
              <w:rPr>
                <w:rFonts w:cs="Arial"/>
                <w:color w:val="000000"/>
                <w:sz w:val="24"/>
                <w:szCs w:val="24"/>
              </w:rPr>
              <w:t>500</w:t>
            </w:r>
          </w:p>
        </w:tc>
        <w:tc>
          <w:tcPr>
            <w:tcW w:w="1380" w:type="dxa"/>
            <w:tcBorders>
              <w:top w:val="nil"/>
              <w:left w:val="nil"/>
              <w:bottom w:val="nil"/>
              <w:right w:val="nil"/>
            </w:tcBorders>
            <w:shd w:val="clear" w:color="auto" w:fill="auto"/>
            <w:hideMark/>
          </w:tcPr>
          <w:p w14:paraId="13F32D09"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7E40FC44" w14:textId="77777777" w:rsidTr="00230364">
        <w:trPr>
          <w:trHeight w:val="300"/>
        </w:trPr>
        <w:tc>
          <w:tcPr>
            <w:tcW w:w="4560" w:type="dxa"/>
            <w:tcBorders>
              <w:top w:val="nil"/>
              <w:left w:val="nil"/>
              <w:bottom w:val="nil"/>
              <w:right w:val="nil"/>
            </w:tcBorders>
            <w:shd w:val="clear" w:color="auto" w:fill="auto"/>
            <w:hideMark/>
          </w:tcPr>
          <w:p w14:paraId="4A446148" w14:textId="77777777" w:rsidR="00230364" w:rsidRPr="00230364" w:rsidRDefault="00230364" w:rsidP="00230364">
            <w:pPr>
              <w:jc w:val="left"/>
              <w:rPr>
                <w:rFonts w:cs="Arial"/>
                <w:color w:val="000000"/>
                <w:sz w:val="24"/>
                <w:szCs w:val="24"/>
              </w:rPr>
            </w:pPr>
            <w:r w:rsidRPr="00230364">
              <w:rPr>
                <w:rFonts w:cs="Arial"/>
                <w:color w:val="000000"/>
                <w:sz w:val="24"/>
                <w:szCs w:val="24"/>
              </w:rPr>
              <w:t>Civic Centre Service Air handling plant</w:t>
            </w:r>
          </w:p>
        </w:tc>
        <w:tc>
          <w:tcPr>
            <w:tcW w:w="1380" w:type="dxa"/>
            <w:tcBorders>
              <w:top w:val="nil"/>
              <w:left w:val="nil"/>
              <w:bottom w:val="nil"/>
              <w:right w:val="nil"/>
            </w:tcBorders>
            <w:shd w:val="clear" w:color="auto" w:fill="auto"/>
            <w:hideMark/>
          </w:tcPr>
          <w:p w14:paraId="3C54EE2F" w14:textId="77777777" w:rsidR="00230364" w:rsidRPr="00230364" w:rsidRDefault="00230364" w:rsidP="00230364">
            <w:pPr>
              <w:jc w:val="center"/>
              <w:rPr>
                <w:rFonts w:cs="Arial"/>
                <w:color w:val="000000"/>
                <w:sz w:val="24"/>
                <w:szCs w:val="24"/>
              </w:rPr>
            </w:pPr>
            <w:r w:rsidRPr="00230364">
              <w:rPr>
                <w:rFonts w:cs="Arial"/>
                <w:color w:val="000000"/>
                <w:sz w:val="24"/>
                <w:szCs w:val="24"/>
              </w:rPr>
              <w:t>165</w:t>
            </w:r>
          </w:p>
        </w:tc>
        <w:tc>
          <w:tcPr>
            <w:tcW w:w="1380" w:type="dxa"/>
            <w:tcBorders>
              <w:top w:val="nil"/>
              <w:left w:val="nil"/>
              <w:bottom w:val="nil"/>
              <w:right w:val="nil"/>
            </w:tcBorders>
            <w:shd w:val="clear" w:color="auto" w:fill="auto"/>
            <w:hideMark/>
          </w:tcPr>
          <w:p w14:paraId="2142518D" w14:textId="77777777" w:rsidR="00230364" w:rsidRPr="00230364" w:rsidRDefault="00230364" w:rsidP="00230364">
            <w:pPr>
              <w:jc w:val="center"/>
              <w:rPr>
                <w:rFonts w:cs="Arial"/>
                <w:color w:val="000000"/>
                <w:sz w:val="24"/>
                <w:szCs w:val="24"/>
              </w:rPr>
            </w:pPr>
            <w:r w:rsidRPr="00230364">
              <w:rPr>
                <w:rFonts w:cs="Arial"/>
                <w:color w:val="000000"/>
                <w:sz w:val="24"/>
                <w:szCs w:val="24"/>
              </w:rPr>
              <w:t>100</w:t>
            </w:r>
          </w:p>
        </w:tc>
        <w:tc>
          <w:tcPr>
            <w:tcW w:w="1380" w:type="dxa"/>
            <w:tcBorders>
              <w:top w:val="nil"/>
              <w:left w:val="nil"/>
              <w:bottom w:val="nil"/>
              <w:right w:val="nil"/>
            </w:tcBorders>
            <w:shd w:val="clear" w:color="auto" w:fill="auto"/>
            <w:hideMark/>
          </w:tcPr>
          <w:p w14:paraId="083F44D9"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5A1A7928" w14:textId="77777777" w:rsidTr="00230364">
        <w:trPr>
          <w:trHeight w:val="300"/>
        </w:trPr>
        <w:tc>
          <w:tcPr>
            <w:tcW w:w="4560" w:type="dxa"/>
            <w:tcBorders>
              <w:top w:val="nil"/>
              <w:left w:val="nil"/>
              <w:bottom w:val="nil"/>
              <w:right w:val="nil"/>
            </w:tcBorders>
            <w:shd w:val="clear" w:color="auto" w:fill="auto"/>
            <w:hideMark/>
          </w:tcPr>
          <w:p w14:paraId="1E1AA8D4" w14:textId="77777777" w:rsidR="00230364" w:rsidRPr="00230364" w:rsidRDefault="00230364" w:rsidP="00230364">
            <w:pPr>
              <w:jc w:val="left"/>
              <w:rPr>
                <w:rFonts w:cs="Arial"/>
                <w:color w:val="000000"/>
                <w:sz w:val="24"/>
                <w:szCs w:val="24"/>
              </w:rPr>
            </w:pPr>
            <w:r w:rsidRPr="00230364">
              <w:rPr>
                <w:rFonts w:cs="Arial"/>
                <w:color w:val="000000"/>
                <w:sz w:val="24"/>
                <w:szCs w:val="24"/>
              </w:rPr>
              <w:t>Civic Centre Building Works</w:t>
            </w:r>
          </w:p>
        </w:tc>
        <w:tc>
          <w:tcPr>
            <w:tcW w:w="1380" w:type="dxa"/>
            <w:tcBorders>
              <w:top w:val="nil"/>
              <w:left w:val="nil"/>
              <w:bottom w:val="nil"/>
              <w:right w:val="nil"/>
            </w:tcBorders>
            <w:shd w:val="clear" w:color="auto" w:fill="auto"/>
            <w:hideMark/>
          </w:tcPr>
          <w:p w14:paraId="7FCB84AF" w14:textId="77777777" w:rsidR="00230364" w:rsidRPr="00230364" w:rsidRDefault="00230364" w:rsidP="00230364">
            <w:pPr>
              <w:jc w:val="center"/>
              <w:rPr>
                <w:rFonts w:cs="Arial"/>
                <w:color w:val="000000"/>
                <w:sz w:val="24"/>
                <w:szCs w:val="24"/>
              </w:rPr>
            </w:pPr>
            <w:r w:rsidRPr="00230364">
              <w:rPr>
                <w:rFonts w:cs="Arial"/>
                <w:color w:val="000000"/>
                <w:sz w:val="24"/>
                <w:szCs w:val="24"/>
              </w:rPr>
              <w:t>50</w:t>
            </w:r>
          </w:p>
        </w:tc>
        <w:tc>
          <w:tcPr>
            <w:tcW w:w="1380" w:type="dxa"/>
            <w:tcBorders>
              <w:top w:val="nil"/>
              <w:left w:val="nil"/>
              <w:bottom w:val="nil"/>
              <w:right w:val="nil"/>
            </w:tcBorders>
            <w:shd w:val="clear" w:color="auto" w:fill="auto"/>
            <w:hideMark/>
          </w:tcPr>
          <w:p w14:paraId="3DAE2C34"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5DE29FD4"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39BAA8A8" w14:textId="77777777" w:rsidTr="00230364">
        <w:trPr>
          <w:trHeight w:val="300"/>
        </w:trPr>
        <w:tc>
          <w:tcPr>
            <w:tcW w:w="4560" w:type="dxa"/>
            <w:tcBorders>
              <w:top w:val="nil"/>
              <w:left w:val="nil"/>
              <w:bottom w:val="nil"/>
              <w:right w:val="nil"/>
            </w:tcBorders>
            <w:shd w:val="clear" w:color="auto" w:fill="auto"/>
            <w:hideMark/>
          </w:tcPr>
          <w:p w14:paraId="44A6D803" w14:textId="77777777" w:rsidR="00230364" w:rsidRPr="00230364" w:rsidRDefault="00230364" w:rsidP="00230364">
            <w:pPr>
              <w:jc w:val="left"/>
              <w:rPr>
                <w:rFonts w:cs="Arial"/>
                <w:color w:val="000000"/>
                <w:sz w:val="24"/>
                <w:szCs w:val="24"/>
              </w:rPr>
            </w:pPr>
            <w:r w:rsidRPr="00230364">
              <w:rPr>
                <w:rFonts w:cs="Arial"/>
                <w:color w:val="000000"/>
                <w:sz w:val="24"/>
                <w:szCs w:val="24"/>
              </w:rPr>
              <w:t>Civic Centre Fire Dampers</w:t>
            </w:r>
          </w:p>
        </w:tc>
        <w:tc>
          <w:tcPr>
            <w:tcW w:w="1380" w:type="dxa"/>
            <w:tcBorders>
              <w:top w:val="nil"/>
              <w:left w:val="nil"/>
              <w:bottom w:val="nil"/>
              <w:right w:val="nil"/>
            </w:tcBorders>
            <w:shd w:val="clear" w:color="auto" w:fill="auto"/>
            <w:hideMark/>
          </w:tcPr>
          <w:p w14:paraId="4FB9B4D2" w14:textId="77777777" w:rsidR="00230364" w:rsidRPr="00230364" w:rsidRDefault="00230364" w:rsidP="00230364">
            <w:pPr>
              <w:jc w:val="center"/>
              <w:rPr>
                <w:rFonts w:cs="Arial"/>
                <w:color w:val="000000"/>
                <w:sz w:val="24"/>
                <w:szCs w:val="24"/>
              </w:rPr>
            </w:pPr>
            <w:r w:rsidRPr="00230364">
              <w:rPr>
                <w:rFonts w:cs="Arial"/>
                <w:color w:val="000000"/>
                <w:sz w:val="24"/>
                <w:szCs w:val="24"/>
              </w:rPr>
              <w:t>40</w:t>
            </w:r>
          </w:p>
        </w:tc>
        <w:tc>
          <w:tcPr>
            <w:tcW w:w="1380" w:type="dxa"/>
            <w:tcBorders>
              <w:top w:val="nil"/>
              <w:left w:val="nil"/>
              <w:bottom w:val="nil"/>
              <w:right w:val="nil"/>
            </w:tcBorders>
            <w:shd w:val="clear" w:color="auto" w:fill="auto"/>
            <w:hideMark/>
          </w:tcPr>
          <w:p w14:paraId="225AABF1"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0B82F341"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22C16FA6" w14:textId="77777777" w:rsidTr="00230364">
        <w:trPr>
          <w:trHeight w:val="300"/>
        </w:trPr>
        <w:tc>
          <w:tcPr>
            <w:tcW w:w="4560" w:type="dxa"/>
            <w:tcBorders>
              <w:top w:val="nil"/>
              <w:left w:val="nil"/>
              <w:bottom w:val="nil"/>
              <w:right w:val="nil"/>
            </w:tcBorders>
            <w:shd w:val="clear" w:color="auto" w:fill="auto"/>
            <w:hideMark/>
          </w:tcPr>
          <w:p w14:paraId="48E4F6AB" w14:textId="77777777" w:rsidR="00230364" w:rsidRPr="00230364" w:rsidRDefault="00230364" w:rsidP="00230364">
            <w:pPr>
              <w:jc w:val="left"/>
              <w:rPr>
                <w:rFonts w:cs="Arial"/>
                <w:color w:val="000000"/>
                <w:sz w:val="24"/>
                <w:szCs w:val="24"/>
              </w:rPr>
            </w:pPr>
            <w:r w:rsidRPr="00230364">
              <w:rPr>
                <w:rFonts w:cs="Arial"/>
                <w:color w:val="000000"/>
                <w:sz w:val="24"/>
                <w:szCs w:val="24"/>
              </w:rPr>
              <w:t>Civic Centre Toilet Extract</w:t>
            </w:r>
          </w:p>
        </w:tc>
        <w:tc>
          <w:tcPr>
            <w:tcW w:w="1380" w:type="dxa"/>
            <w:tcBorders>
              <w:top w:val="nil"/>
              <w:left w:val="nil"/>
              <w:bottom w:val="nil"/>
              <w:right w:val="nil"/>
            </w:tcBorders>
            <w:shd w:val="clear" w:color="auto" w:fill="auto"/>
            <w:hideMark/>
          </w:tcPr>
          <w:p w14:paraId="12D7DC75" w14:textId="77777777" w:rsidR="00230364" w:rsidRPr="00230364" w:rsidRDefault="00230364" w:rsidP="00230364">
            <w:pPr>
              <w:jc w:val="center"/>
              <w:rPr>
                <w:rFonts w:cs="Arial"/>
                <w:color w:val="000000"/>
                <w:sz w:val="24"/>
                <w:szCs w:val="24"/>
              </w:rPr>
            </w:pPr>
            <w:r w:rsidRPr="00230364">
              <w:rPr>
                <w:rFonts w:cs="Arial"/>
                <w:color w:val="000000"/>
                <w:sz w:val="24"/>
                <w:szCs w:val="24"/>
              </w:rPr>
              <w:t>130</w:t>
            </w:r>
          </w:p>
        </w:tc>
        <w:tc>
          <w:tcPr>
            <w:tcW w:w="1380" w:type="dxa"/>
            <w:tcBorders>
              <w:top w:val="nil"/>
              <w:left w:val="nil"/>
              <w:bottom w:val="nil"/>
              <w:right w:val="nil"/>
            </w:tcBorders>
            <w:shd w:val="clear" w:color="auto" w:fill="auto"/>
            <w:hideMark/>
          </w:tcPr>
          <w:p w14:paraId="7E314247"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42C88C76"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30FC8EC0" w14:textId="77777777" w:rsidTr="00230364">
        <w:trPr>
          <w:trHeight w:val="300"/>
        </w:trPr>
        <w:tc>
          <w:tcPr>
            <w:tcW w:w="4560" w:type="dxa"/>
            <w:tcBorders>
              <w:top w:val="nil"/>
              <w:left w:val="nil"/>
              <w:bottom w:val="nil"/>
              <w:right w:val="nil"/>
            </w:tcBorders>
            <w:shd w:val="clear" w:color="auto" w:fill="auto"/>
            <w:hideMark/>
          </w:tcPr>
          <w:p w14:paraId="71E4F28B" w14:textId="77777777" w:rsidR="00230364" w:rsidRPr="00230364" w:rsidRDefault="00230364" w:rsidP="00230364">
            <w:pPr>
              <w:jc w:val="left"/>
              <w:rPr>
                <w:rFonts w:cs="Arial"/>
                <w:color w:val="000000"/>
                <w:sz w:val="24"/>
                <w:szCs w:val="24"/>
              </w:rPr>
            </w:pPr>
            <w:r w:rsidRPr="00230364">
              <w:rPr>
                <w:rFonts w:cs="Arial"/>
                <w:color w:val="000000"/>
                <w:sz w:val="24"/>
                <w:szCs w:val="24"/>
              </w:rPr>
              <w:t>Civic Centre Hot Water</w:t>
            </w:r>
          </w:p>
        </w:tc>
        <w:tc>
          <w:tcPr>
            <w:tcW w:w="1380" w:type="dxa"/>
            <w:tcBorders>
              <w:top w:val="nil"/>
              <w:left w:val="nil"/>
              <w:bottom w:val="nil"/>
              <w:right w:val="nil"/>
            </w:tcBorders>
            <w:shd w:val="clear" w:color="auto" w:fill="auto"/>
            <w:hideMark/>
          </w:tcPr>
          <w:p w14:paraId="7739A405" w14:textId="77777777" w:rsidR="00230364" w:rsidRPr="00230364" w:rsidRDefault="00230364" w:rsidP="00230364">
            <w:pPr>
              <w:jc w:val="center"/>
              <w:rPr>
                <w:rFonts w:cs="Arial"/>
                <w:color w:val="000000"/>
                <w:sz w:val="24"/>
                <w:szCs w:val="24"/>
              </w:rPr>
            </w:pPr>
            <w:r w:rsidRPr="00230364">
              <w:rPr>
                <w:rFonts w:cs="Arial"/>
                <w:color w:val="000000"/>
                <w:sz w:val="24"/>
                <w:szCs w:val="24"/>
              </w:rPr>
              <w:t>60</w:t>
            </w:r>
          </w:p>
        </w:tc>
        <w:tc>
          <w:tcPr>
            <w:tcW w:w="1380" w:type="dxa"/>
            <w:tcBorders>
              <w:top w:val="nil"/>
              <w:left w:val="nil"/>
              <w:bottom w:val="nil"/>
              <w:right w:val="nil"/>
            </w:tcBorders>
            <w:shd w:val="clear" w:color="auto" w:fill="auto"/>
            <w:hideMark/>
          </w:tcPr>
          <w:p w14:paraId="795658D0"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009A0D4A"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3A3E3287" w14:textId="77777777" w:rsidTr="00230364">
        <w:trPr>
          <w:trHeight w:val="600"/>
        </w:trPr>
        <w:tc>
          <w:tcPr>
            <w:tcW w:w="4560" w:type="dxa"/>
            <w:tcBorders>
              <w:top w:val="nil"/>
              <w:left w:val="nil"/>
              <w:bottom w:val="nil"/>
              <w:right w:val="nil"/>
            </w:tcBorders>
            <w:shd w:val="clear" w:color="auto" w:fill="auto"/>
            <w:hideMark/>
          </w:tcPr>
          <w:p w14:paraId="63FD1E6F" w14:textId="77777777" w:rsidR="00230364" w:rsidRPr="00230364" w:rsidRDefault="00230364" w:rsidP="00230364">
            <w:pPr>
              <w:jc w:val="left"/>
              <w:rPr>
                <w:rFonts w:cs="Arial"/>
                <w:color w:val="000000"/>
                <w:sz w:val="24"/>
                <w:szCs w:val="24"/>
              </w:rPr>
            </w:pPr>
            <w:r w:rsidRPr="00230364">
              <w:rPr>
                <w:rFonts w:cs="Arial"/>
                <w:color w:val="000000"/>
                <w:sz w:val="24"/>
                <w:szCs w:val="24"/>
              </w:rPr>
              <w:t>Civic Centre Building Management System</w:t>
            </w:r>
          </w:p>
        </w:tc>
        <w:tc>
          <w:tcPr>
            <w:tcW w:w="1380" w:type="dxa"/>
            <w:tcBorders>
              <w:top w:val="nil"/>
              <w:left w:val="nil"/>
              <w:bottom w:val="nil"/>
              <w:right w:val="nil"/>
            </w:tcBorders>
            <w:shd w:val="clear" w:color="auto" w:fill="auto"/>
            <w:hideMark/>
          </w:tcPr>
          <w:p w14:paraId="008586FF" w14:textId="77777777" w:rsidR="00230364" w:rsidRPr="00230364" w:rsidRDefault="00230364" w:rsidP="00230364">
            <w:pPr>
              <w:jc w:val="center"/>
              <w:rPr>
                <w:rFonts w:cs="Arial"/>
                <w:color w:val="000000"/>
                <w:sz w:val="24"/>
                <w:szCs w:val="24"/>
              </w:rPr>
            </w:pPr>
            <w:r w:rsidRPr="00230364">
              <w:rPr>
                <w:rFonts w:cs="Arial"/>
                <w:color w:val="000000"/>
                <w:sz w:val="24"/>
                <w:szCs w:val="24"/>
              </w:rPr>
              <w:t>45</w:t>
            </w:r>
          </w:p>
        </w:tc>
        <w:tc>
          <w:tcPr>
            <w:tcW w:w="1380" w:type="dxa"/>
            <w:tcBorders>
              <w:top w:val="nil"/>
              <w:left w:val="nil"/>
              <w:bottom w:val="nil"/>
              <w:right w:val="nil"/>
            </w:tcBorders>
            <w:shd w:val="clear" w:color="auto" w:fill="auto"/>
            <w:hideMark/>
          </w:tcPr>
          <w:p w14:paraId="1D988768"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7F8F5F0B"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1BDF82E9" w14:textId="77777777" w:rsidTr="00230364">
        <w:trPr>
          <w:trHeight w:val="300"/>
        </w:trPr>
        <w:tc>
          <w:tcPr>
            <w:tcW w:w="4560" w:type="dxa"/>
            <w:tcBorders>
              <w:top w:val="nil"/>
              <w:left w:val="nil"/>
              <w:bottom w:val="nil"/>
              <w:right w:val="nil"/>
            </w:tcBorders>
            <w:shd w:val="clear" w:color="auto" w:fill="auto"/>
            <w:hideMark/>
          </w:tcPr>
          <w:p w14:paraId="7F253B22" w14:textId="77777777" w:rsidR="00230364" w:rsidRPr="00230364" w:rsidRDefault="00230364" w:rsidP="00230364">
            <w:pPr>
              <w:jc w:val="left"/>
              <w:rPr>
                <w:rFonts w:cs="Arial"/>
                <w:color w:val="000000"/>
                <w:sz w:val="24"/>
                <w:szCs w:val="24"/>
              </w:rPr>
            </w:pPr>
            <w:r w:rsidRPr="00230364">
              <w:rPr>
                <w:rFonts w:cs="Arial"/>
                <w:color w:val="000000"/>
                <w:sz w:val="24"/>
                <w:szCs w:val="24"/>
              </w:rPr>
              <w:t>Palace Theatre Lift Upgrade</w:t>
            </w:r>
          </w:p>
        </w:tc>
        <w:tc>
          <w:tcPr>
            <w:tcW w:w="1380" w:type="dxa"/>
            <w:tcBorders>
              <w:top w:val="nil"/>
              <w:left w:val="nil"/>
              <w:bottom w:val="nil"/>
              <w:right w:val="nil"/>
            </w:tcBorders>
            <w:shd w:val="clear" w:color="auto" w:fill="auto"/>
            <w:hideMark/>
          </w:tcPr>
          <w:p w14:paraId="525A7C3D" w14:textId="77777777" w:rsidR="00230364" w:rsidRPr="00230364" w:rsidRDefault="00230364" w:rsidP="00230364">
            <w:pPr>
              <w:jc w:val="center"/>
              <w:rPr>
                <w:rFonts w:cs="Arial"/>
                <w:color w:val="000000"/>
                <w:sz w:val="24"/>
                <w:szCs w:val="24"/>
              </w:rPr>
            </w:pPr>
            <w:r w:rsidRPr="00230364">
              <w:rPr>
                <w:rFonts w:cs="Arial"/>
                <w:color w:val="000000"/>
                <w:sz w:val="24"/>
                <w:szCs w:val="24"/>
              </w:rPr>
              <w:t>5</w:t>
            </w:r>
          </w:p>
        </w:tc>
        <w:tc>
          <w:tcPr>
            <w:tcW w:w="1380" w:type="dxa"/>
            <w:tcBorders>
              <w:top w:val="nil"/>
              <w:left w:val="nil"/>
              <w:bottom w:val="nil"/>
              <w:right w:val="nil"/>
            </w:tcBorders>
            <w:shd w:val="clear" w:color="auto" w:fill="auto"/>
            <w:hideMark/>
          </w:tcPr>
          <w:p w14:paraId="745D17C8"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32665BE1"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1FB8CF12" w14:textId="77777777" w:rsidTr="00230364">
        <w:trPr>
          <w:trHeight w:val="300"/>
        </w:trPr>
        <w:tc>
          <w:tcPr>
            <w:tcW w:w="4560" w:type="dxa"/>
            <w:tcBorders>
              <w:top w:val="nil"/>
              <w:left w:val="nil"/>
              <w:bottom w:val="nil"/>
              <w:right w:val="nil"/>
            </w:tcBorders>
            <w:shd w:val="clear" w:color="auto" w:fill="auto"/>
            <w:hideMark/>
          </w:tcPr>
          <w:p w14:paraId="68ADD2A6" w14:textId="77777777" w:rsidR="00230364" w:rsidRPr="00230364" w:rsidRDefault="00230364" w:rsidP="00230364">
            <w:pPr>
              <w:jc w:val="left"/>
              <w:rPr>
                <w:rFonts w:cs="Arial"/>
                <w:color w:val="000000"/>
                <w:sz w:val="24"/>
                <w:szCs w:val="24"/>
              </w:rPr>
            </w:pPr>
            <w:r w:rsidRPr="00230364">
              <w:rPr>
                <w:rFonts w:cs="Arial"/>
                <w:color w:val="000000"/>
                <w:sz w:val="24"/>
                <w:szCs w:val="24"/>
              </w:rPr>
              <w:t>Palace Theatre Lighting</w:t>
            </w:r>
          </w:p>
        </w:tc>
        <w:tc>
          <w:tcPr>
            <w:tcW w:w="1380" w:type="dxa"/>
            <w:tcBorders>
              <w:top w:val="nil"/>
              <w:left w:val="nil"/>
              <w:bottom w:val="nil"/>
              <w:right w:val="nil"/>
            </w:tcBorders>
            <w:shd w:val="clear" w:color="auto" w:fill="auto"/>
            <w:hideMark/>
          </w:tcPr>
          <w:p w14:paraId="6F77185F" w14:textId="77777777" w:rsidR="00230364" w:rsidRPr="00230364" w:rsidRDefault="00230364" w:rsidP="00230364">
            <w:pPr>
              <w:jc w:val="center"/>
              <w:rPr>
                <w:rFonts w:cs="Arial"/>
                <w:color w:val="000000"/>
                <w:sz w:val="24"/>
                <w:szCs w:val="24"/>
              </w:rPr>
            </w:pPr>
            <w:r w:rsidRPr="00230364">
              <w:rPr>
                <w:rFonts w:cs="Arial"/>
                <w:color w:val="000000"/>
                <w:sz w:val="24"/>
                <w:szCs w:val="24"/>
              </w:rPr>
              <w:t>100</w:t>
            </w:r>
          </w:p>
        </w:tc>
        <w:tc>
          <w:tcPr>
            <w:tcW w:w="1380" w:type="dxa"/>
            <w:tcBorders>
              <w:top w:val="nil"/>
              <w:left w:val="nil"/>
              <w:bottom w:val="nil"/>
              <w:right w:val="nil"/>
            </w:tcBorders>
            <w:shd w:val="clear" w:color="auto" w:fill="auto"/>
            <w:hideMark/>
          </w:tcPr>
          <w:p w14:paraId="46EEEE32"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5734CD67"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113AF51C" w14:textId="77777777" w:rsidTr="00230364">
        <w:trPr>
          <w:trHeight w:val="300"/>
        </w:trPr>
        <w:tc>
          <w:tcPr>
            <w:tcW w:w="4560" w:type="dxa"/>
            <w:tcBorders>
              <w:top w:val="nil"/>
              <w:left w:val="nil"/>
              <w:bottom w:val="nil"/>
              <w:right w:val="nil"/>
            </w:tcBorders>
            <w:shd w:val="clear" w:color="auto" w:fill="auto"/>
            <w:hideMark/>
          </w:tcPr>
          <w:p w14:paraId="0FECB989" w14:textId="77777777" w:rsidR="00230364" w:rsidRPr="00230364" w:rsidRDefault="00230364" w:rsidP="00230364">
            <w:pPr>
              <w:jc w:val="left"/>
              <w:rPr>
                <w:rFonts w:cs="Arial"/>
                <w:color w:val="000000"/>
                <w:sz w:val="24"/>
                <w:szCs w:val="24"/>
              </w:rPr>
            </w:pPr>
            <w:r w:rsidRPr="00230364">
              <w:rPr>
                <w:rFonts w:cs="Arial"/>
                <w:color w:val="000000"/>
                <w:sz w:val="24"/>
                <w:szCs w:val="24"/>
              </w:rPr>
              <w:t>Mansfield Museum Fire alarm upgrade</w:t>
            </w:r>
          </w:p>
        </w:tc>
        <w:tc>
          <w:tcPr>
            <w:tcW w:w="1380" w:type="dxa"/>
            <w:tcBorders>
              <w:top w:val="nil"/>
              <w:left w:val="nil"/>
              <w:bottom w:val="nil"/>
              <w:right w:val="nil"/>
            </w:tcBorders>
            <w:shd w:val="clear" w:color="auto" w:fill="auto"/>
            <w:hideMark/>
          </w:tcPr>
          <w:p w14:paraId="07968800" w14:textId="77777777" w:rsidR="00230364" w:rsidRPr="00230364" w:rsidRDefault="00230364" w:rsidP="00230364">
            <w:pPr>
              <w:jc w:val="center"/>
              <w:rPr>
                <w:rFonts w:cs="Arial"/>
                <w:color w:val="000000"/>
                <w:sz w:val="24"/>
                <w:szCs w:val="24"/>
              </w:rPr>
            </w:pPr>
            <w:r w:rsidRPr="00230364">
              <w:rPr>
                <w:rFonts w:cs="Arial"/>
                <w:color w:val="000000"/>
                <w:sz w:val="24"/>
                <w:szCs w:val="24"/>
              </w:rPr>
              <w:t>5</w:t>
            </w:r>
          </w:p>
        </w:tc>
        <w:tc>
          <w:tcPr>
            <w:tcW w:w="1380" w:type="dxa"/>
            <w:tcBorders>
              <w:top w:val="nil"/>
              <w:left w:val="nil"/>
              <w:bottom w:val="nil"/>
              <w:right w:val="nil"/>
            </w:tcBorders>
            <w:shd w:val="clear" w:color="auto" w:fill="auto"/>
            <w:hideMark/>
          </w:tcPr>
          <w:p w14:paraId="34EC2990"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630350AD"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744C11F4" w14:textId="77777777" w:rsidTr="00230364">
        <w:trPr>
          <w:trHeight w:val="300"/>
        </w:trPr>
        <w:tc>
          <w:tcPr>
            <w:tcW w:w="4560" w:type="dxa"/>
            <w:tcBorders>
              <w:top w:val="nil"/>
              <w:left w:val="nil"/>
              <w:bottom w:val="nil"/>
              <w:right w:val="nil"/>
            </w:tcBorders>
            <w:shd w:val="clear" w:color="auto" w:fill="auto"/>
            <w:hideMark/>
          </w:tcPr>
          <w:p w14:paraId="1DD9FB1B" w14:textId="77777777" w:rsidR="00230364" w:rsidRPr="00230364" w:rsidRDefault="00230364" w:rsidP="00230364">
            <w:pPr>
              <w:jc w:val="left"/>
              <w:rPr>
                <w:rFonts w:cs="Arial"/>
                <w:color w:val="000000"/>
                <w:sz w:val="24"/>
                <w:szCs w:val="24"/>
              </w:rPr>
            </w:pPr>
            <w:r w:rsidRPr="00230364">
              <w:rPr>
                <w:rFonts w:cs="Arial"/>
                <w:color w:val="000000"/>
                <w:sz w:val="24"/>
                <w:szCs w:val="24"/>
              </w:rPr>
              <w:t>Hermitage Lane Depot Office Works</w:t>
            </w:r>
          </w:p>
        </w:tc>
        <w:tc>
          <w:tcPr>
            <w:tcW w:w="1380" w:type="dxa"/>
            <w:tcBorders>
              <w:top w:val="nil"/>
              <w:left w:val="nil"/>
              <w:bottom w:val="nil"/>
              <w:right w:val="nil"/>
            </w:tcBorders>
            <w:shd w:val="clear" w:color="auto" w:fill="auto"/>
            <w:hideMark/>
          </w:tcPr>
          <w:p w14:paraId="4E82FCAC" w14:textId="77777777" w:rsidR="00230364" w:rsidRPr="00230364" w:rsidRDefault="00230364" w:rsidP="00230364">
            <w:pPr>
              <w:jc w:val="center"/>
              <w:rPr>
                <w:rFonts w:cs="Arial"/>
                <w:color w:val="000000"/>
                <w:sz w:val="24"/>
                <w:szCs w:val="24"/>
              </w:rPr>
            </w:pPr>
            <w:r w:rsidRPr="00230364">
              <w:rPr>
                <w:rFonts w:cs="Arial"/>
                <w:color w:val="000000"/>
                <w:sz w:val="24"/>
                <w:szCs w:val="24"/>
              </w:rPr>
              <w:t>300</w:t>
            </w:r>
          </w:p>
        </w:tc>
        <w:tc>
          <w:tcPr>
            <w:tcW w:w="1380" w:type="dxa"/>
            <w:tcBorders>
              <w:top w:val="nil"/>
              <w:left w:val="nil"/>
              <w:bottom w:val="nil"/>
              <w:right w:val="nil"/>
            </w:tcBorders>
            <w:shd w:val="clear" w:color="auto" w:fill="auto"/>
            <w:hideMark/>
          </w:tcPr>
          <w:p w14:paraId="12241F5D" w14:textId="77777777" w:rsidR="00230364" w:rsidRPr="00230364" w:rsidRDefault="00230364" w:rsidP="00230364">
            <w:pPr>
              <w:jc w:val="center"/>
              <w:rPr>
                <w:rFonts w:cs="Arial"/>
                <w:color w:val="000000"/>
                <w:sz w:val="24"/>
                <w:szCs w:val="24"/>
              </w:rPr>
            </w:pPr>
            <w:r w:rsidRPr="00230364">
              <w:rPr>
                <w:rFonts w:cs="Arial"/>
                <w:color w:val="000000"/>
                <w:sz w:val="24"/>
                <w:szCs w:val="24"/>
              </w:rPr>
              <w:t>165</w:t>
            </w:r>
          </w:p>
        </w:tc>
        <w:tc>
          <w:tcPr>
            <w:tcW w:w="1380" w:type="dxa"/>
            <w:tcBorders>
              <w:top w:val="nil"/>
              <w:left w:val="nil"/>
              <w:bottom w:val="nil"/>
              <w:right w:val="nil"/>
            </w:tcBorders>
            <w:shd w:val="clear" w:color="auto" w:fill="auto"/>
            <w:hideMark/>
          </w:tcPr>
          <w:p w14:paraId="0ED3F433"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3ECFA189" w14:textId="77777777" w:rsidTr="00230364">
        <w:trPr>
          <w:trHeight w:val="300"/>
        </w:trPr>
        <w:tc>
          <w:tcPr>
            <w:tcW w:w="4560" w:type="dxa"/>
            <w:tcBorders>
              <w:top w:val="nil"/>
              <w:left w:val="nil"/>
              <w:bottom w:val="nil"/>
              <w:right w:val="nil"/>
            </w:tcBorders>
            <w:shd w:val="clear" w:color="auto" w:fill="auto"/>
            <w:hideMark/>
          </w:tcPr>
          <w:p w14:paraId="2559BE25" w14:textId="77777777" w:rsidR="00230364" w:rsidRPr="00230364" w:rsidRDefault="00230364" w:rsidP="00230364">
            <w:pPr>
              <w:jc w:val="left"/>
              <w:rPr>
                <w:rFonts w:cs="Arial"/>
                <w:color w:val="000000"/>
                <w:sz w:val="24"/>
                <w:szCs w:val="24"/>
              </w:rPr>
            </w:pPr>
            <w:r w:rsidRPr="00230364">
              <w:rPr>
                <w:rFonts w:cs="Arial"/>
                <w:color w:val="000000"/>
                <w:sz w:val="24"/>
                <w:szCs w:val="24"/>
              </w:rPr>
              <w:t>Hermitage Lane Depot Office Lighting</w:t>
            </w:r>
          </w:p>
        </w:tc>
        <w:tc>
          <w:tcPr>
            <w:tcW w:w="1380" w:type="dxa"/>
            <w:tcBorders>
              <w:top w:val="nil"/>
              <w:left w:val="nil"/>
              <w:bottom w:val="nil"/>
              <w:right w:val="nil"/>
            </w:tcBorders>
            <w:shd w:val="clear" w:color="auto" w:fill="auto"/>
            <w:hideMark/>
          </w:tcPr>
          <w:p w14:paraId="7EE058B2" w14:textId="77777777" w:rsidR="00230364" w:rsidRPr="00230364" w:rsidRDefault="00230364" w:rsidP="00230364">
            <w:pPr>
              <w:jc w:val="center"/>
              <w:rPr>
                <w:rFonts w:cs="Arial"/>
                <w:color w:val="000000"/>
                <w:sz w:val="24"/>
                <w:szCs w:val="24"/>
              </w:rPr>
            </w:pPr>
            <w:r w:rsidRPr="00230364">
              <w:rPr>
                <w:rFonts w:cs="Arial"/>
                <w:color w:val="000000"/>
                <w:sz w:val="24"/>
                <w:szCs w:val="24"/>
              </w:rPr>
              <w:t>19</w:t>
            </w:r>
          </w:p>
        </w:tc>
        <w:tc>
          <w:tcPr>
            <w:tcW w:w="1380" w:type="dxa"/>
            <w:tcBorders>
              <w:top w:val="nil"/>
              <w:left w:val="nil"/>
              <w:bottom w:val="nil"/>
              <w:right w:val="nil"/>
            </w:tcBorders>
            <w:shd w:val="clear" w:color="auto" w:fill="auto"/>
            <w:hideMark/>
          </w:tcPr>
          <w:p w14:paraId="7FB79AE6"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41BE5BAC"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3C4C220F" w14:textId="77777777" w:rsidTr="00230364">
        <w:trPr>
          <w:trHeight w:val="300"/>
        </w:trPr>
        <w:tc>
          <w:tcPr>
            <w:tcW w:w="4560" w:type="dxa"/>
            <w:tcBorders>
              <w:top w:val="nil"/>
              <w:left w:val="nil"/>
              <w:bottom w:val="nil"/>
              <w:right w:val="nil"/>
            </w:tcBorders>
            <w:shd w:val="clear" w:color="auto" w:fill="auto"/>
            <w:hideMark/>
          </w:tcPr>
          <w:p w14:paraId="3E74EC9F" w14:textId="77777777" w:rsidR="00230364" w:rsidRPr="00230364" w:rsidRDefault="00230364" w:rsidP="00230364">
            <w:pPr>
              <w:jc w:val="left"/>
              <w:rPr>
                <w:rFonts w:cs="Arial"/>
                <w:color w:val="000000"/>
                <w:sz w:val="24"/>
                <w:szCs w:val="24"/>
              </w:rPr>
            </w:pPr>
            <w:r w:rsidRPr="00230364">
              <w:rPr>
                <w:rFonts w:cs="Arial"/>
                <w:color w:val="000000"/>
                <w:sz w:val="24"/>
                <w:szCs w:val="24"/>
              </w:rPr>
              <w:t>Berry Hill Park Asset condition works</w:t>
            </w:r>
          </w:p>
        </w:tc>
        <w:tc>
          <w:tcPr>
            <w:tcW w:w="1380" w:type="dxa"/>
            <w:tcBorders>
              <w:top w:val="nil"/>
              <w:left w:val="nil"/>
              <w:bottom w:val="nil"/>
              <w:right w:val="nil"/>
            </w:tcBorders>
            <w:shd w:val="clear" w:color="auto" w:fill="auto"/>
            <w:hideMark/>
          </w:tcPr>
          <w:p w14:paraId="26A66029" w14:textId="77777777" w:rsidR="00230364" w:rsidRPr="00230364" w:rsidRDefault="00230364" w:rsidP="00230364">
            <w:pPr>
              <w:jc w:val="center"/>
              <w:rPr>
                <w:rFonts w:cs="Arial"/>
                <w:color w:val="000000"/>
                <w:sz w:val="24"/>
                <w:szCs w:val="24"/>
              </w:rPr>
            </w:pPr>
            <w:r w:rsidRPr="00230364">
              <w:rPr>
                <w:rFonts w:cs="Arial"/>
                <w:color w:val="000000"/>
                <w:sz w:val="24"/>
                <w:szCs w:val="24"/>
              </w:rPr>
              <w:t>200</w:t>
            </w:r>
          </w:p>
        </w:tc>
        <w:tc>
          <w:tcPr>
            <w:tcW w:w="1380" w:type="dxa"/>
            <w:tcBorders>
              <w:top w:val="nil"/>
              <w:left w:val="nil"/>
              <w:bottom w:val="nil"/>
              <w:right w:val="nil"/>
            </w:tcBorders>
            <w:shd w:val="clear" w:color="auto" w:fill="auto"/>
            <w:hideMark/>
          </w:tcPr>
          <w:p w14:paraId="57C3DAE9" w14:textId="77777777" w:rsidR="00230364" w:rsidRPr="00230364" w:rsidRDefault="00230364" w:rsidP="00230364">
            <w:pPr>
              <w:jc w:val="center"/>
              <w:rPr>
                <w:rFonts w:cs="Arial"/>
                <w:color w:val="000000"/>
                <w:sz w:val="24"/>
                <w:szCs w:val="24"/>
              </w:rPr>
            </w:pPr>
            <w:r w:rsidRPr="00230364">
              <w:rPr>
                <w:rFonts w:cs="Arial"/>
                <w:color w:val="000000"/>
                <w:sz w:val="24"/>
                <w:szCs w:val="24"/>
              </w:rPr>
              <w:t>150</w:t>
            </w:r>
          </w:p>
        </w:tc>
        <w:tc>
          <w:tcPr>
            <w:tcW w:w="1380" w:type="dxa"/>
            <w:tcBorders>
              <w:top w:val="nil"/>
              <w:left w:val="nil"/>
              <w:bottom w:val="nil"/>
              <w:right w:val="nil"/>
            </w:tcBorders>
            <w:shd w:val="clear" w:color="auto" w:fill="auto"/>
            <w:hideMark/>
          </w:tcPr>
          <w:p w14:paraId="0FB20A91"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049E03C1" w14:textId="77777777" w:rsidTr="00230364">
        <w:trPr>
          <w:trHeight w:val="600"/>
        </w:trPr>
        <w:tc>
          <w:tcPr>
            <w:tcW w:w="4560" w:type="dxa"/>
            <w:tcBorders>
              <w:top w:val="nil"/>
              <w:left w:val="nil"/>
              <w:bottom w:val="nil"/>
              <w:right w:val="nil"/>
            </w:tcBorders>
            <w:shd w:val="clear" w:color="auto" w:fill="auto"/>
            <w:hideMark/>
          </w:tcPr>
          <w:p w14:paraId="4FC37AEE" w14:textId="77777777" w:rsidR="00230364" w:rsidRPr="00230364" w:rsidRDefault="00230364" w:rsidP="00230364">
            <w:pPr>
              <w:jc w:val="left"/>
              <w:rPr>
                <w:rFonts w:cs="Arial"/>
                <w:color w:val="000000"/>
                <w:sz w:val="24"/>
                <w:szCs w:val="24"/>
              </w:rPr>
            </w:pPr>
            <w:r w:rsidRPr="00230364">
              <w:rPr>
                <w:rFonts w:cs="Arial"/>
                <w:color w:val="000000"/>
                <w:sz w:val="24"/>
                <w:szCs w:val="24"/>
              </w:rPr>
              <w:t>Condition Surveys Identified works asbestos</w:t>
            </w:r>
          </w:p>
        </w:tc>
        <w:tc>
          <w:tcPr>
            <w:tcW w:w="1380" w:type="dxa"/>
            <w:tcBorders>
              <w:top w:val="nil"/>
              <w:left w:val="nil"/>
              <w:bottom w:val="nil"/>
              <w:right w:val="nil"/>
            </w:tcBorders>
            <w:shd w:val="clear" w:color="auto" w:fill="auto"/>
            <w:hideMark/>
          </w:tcPr>
          <w:p w14:paraId="194FE25E" w14:textId="77777777" w:rsidR="00230364" w:rsidRPr="00230364" w:rsidRDefault="00230364" w:rsidP="00230364">
            <w:pPr>
              <w:jc w:val="center"/>
              <w:rPr>
                <w:rFonts w:cs="Arial"/>
                <w:color w:val="000000"/>
                <w:sz w:val="24"/>
                <w:szCs w:val="24"/>
              </w:rPr>
            </w:pPr>
            <w:r w:rsidRPr="00230364">
              <w:rPr>
                <w:rFonts w:cs="Arial"/>
                <w:color w:val="000000"/>
                <w:sz w:val="24"/>
                <w:szCs w:val="24"/>
              </w:rPr>
              <w:t>280</w:t>
            </w:r>
          </w:p>
        </w:tc>
        <w:tc>
          <w:tcPr>
            <w:tcW w:w="1380" w:type="dxa"/>
            <w:tcBorders>
              <w:top w:val="nil"/>
              <w:left w:val="nil"/>
              <w:bottom w:val="nil"/>
              <w:right w:val="nil"/>
            </w:tcBorders>
            <w:shd w:val="clear" w:color="auto" w:fill="auto"/>
            <w:hideMark/>
          </w:tcPr>
          <w:p w14:paraId="28ABE4D3" w14:textId="77777777" w:rsidR="00230364" w:rsidRPr="00230364" w:rsidRDefault="00230364" w:rsidP="00230364">
            <w:pPr>
              <w:jc w:val="center"/>
              <w:rPr>
                <w:rFonts w:cs="Arial"/>
                <w:color w:val="000000"/>
                <w:sz w:val="24"/>
                <w:szCs w:val="24"/>
              </w:rPr>
            </w:pPr>
            <w:r w:rsidRPr="00230364">
              <w:rPr>
                <w:rFonts w:cs="Arial"/>
                <w:color w:val="000000"/>
                <w:sz w:val="24"/>
                <w:szCs w:val="24"/>
              </w:rPr>
              <w:t>280</w:t>
            </w:r>
          </w:p>
        </w:tc>
        <w:tc>
          <w:tcPr>
            <w:tcW w:w="1380" w:type="dxa"/>
            <w:tcBorders>
              <w:top w:val="nil"/>
              <w:left w:val="nil"/>
              <w:bottom w:val="nil"/>
              <w:right w:val="nil"/>
            </w:tcBorders>
            <w:shd w:val="clear" w:color="auto" w:fill="auto"/>
            <w:hideMark/>
          </w:tcPr>
          <w:p w14:paraId="657640BA" w14:textId="77777777" w:rsidR="00230364" w:rsidRPr="00230364" w:rsidRDefault="00230364" w:rsidP="00230364">
            <w:pPr>
              <w:jc w:val="center"/>
              <w:rPr>
                <w:rFonts w:cs="Arial"/>
                <w:color w:val="000000"/>
                <w:sz w:val="24"/>
                <w:szCs w:val="24"/>
              </w:rPr>
            </w:pPr>
            <w:r w:rsidRPr="00230364">
              <w:rPr>
                <w:rFonts w:cs="Arial"/>
                <w:color w:val="000000"/>
                <w:sz w:val="24"/>
                <w:szCs w:val="24"/>
              </w:rPr>
              <w:t>170</w:t>
            </w:r>
          </w:p>
        </w:tc>
      </w:tr>
      <w:tr w:rsidR="00230364" w:rsidRPr="00230364" w14:paraId="5C43084D" w14:textId="77777777" w:rsidTr="00230364">
        <w:trPr>
          <w:trHeight w:val="600"/>
        </w:trPr>
        <w:tc>
          <w:tcPr>
            <w:tcW w:w="4560" w:type="dxa"/>
            <w:tcBorders>
              <w:top w:val="nil"/>
              <w:left w:val="nil"/>
              <w:bottom w:val="nil"/>
              <w:right w:val="nil"/>
            </w:tcBorders>
            <w:shd w:val="clear" w:color="auto" w:fill="auto"/>
            <w:hideMark/>
          </w:tcPr>
          <w:p w14:paraId="3D02B0F8" w14:textId="77777777" w:rsidR="00230364" w:rsidRPr="00230364" w:rsidRDefault="00230364" w:rsidP="00230364">
            <w:pPr>
              <w:jc w:val="left"/>
              <w:rPr>
                <w:rFonts w:cs="Arial"/>
                <w:color w:val="000000"/>
                <w:sz w:val="24"/>
                <w:szCs w:val="24"/>
              </w:rPr>
            </w:pPr>
            <w:r w:rsidRPr="00230364">
              <w:rPr>
                <w:rFonts w:cs="Arial"/>
                <w:color w:val="000000"/>
                <w:sz w:val="24"/>
                <w:szCs w:val="24"/>
              </w:rPr>
              <w:t>Statutory Compliance Risk Assessments/Fire and legionella</w:t>
            </w:r>
          </w:p>
        </w:tc>
        <w:tc>
          <w:tcPr>
            <w:tcW w:w="1380" w:type="dxa"/>
            <w:tcBorders>
              <w:top w:val="nil"/>
              <w:left w:val="nil"/>
              <w:bottom w:val="nil"/>
              <w:right w:val="nil"/>
            </w:tcBorders>
            <w:shd w:val="clear" w:color="auto" w:fill="auto"/>
            <w:hideMark/>
          </w:tcPr>
          <w:p w14:paraId="2B4BFA3A" w14:textId="77777777" w:rsidR="00230364" w:rsidRPr="00230364" w:rsidRDefault="00230364" w:rsidP="00230364">
            <w:pPr>
              <w:jc w:val="center"/>
              <w:rPr>
                <w:rFonts w:cs="Arial"/>
                <w:color w:val="000000"/>
                <w:sz w:val="24"/>
                <w:szCs w:val="24"/>
              </w:rPr>
            </w:pPr>
            <w:r w:rsidRPr="00230364">
              <w:rPr>
                <w:rFonts w:cs="Arial"/>
                <w:color w:val="000000"/>
                <w:sz w:val="24"/>
                <w:szCs w:val="24"/>
              </w:rPr>
              <w:t>45</w:t>
            </w:r>
          </w:p>
        </w:tc>
        <w:tc>
          <w:tcPr>
            <w:tcW w:w="1380" w:type="dxa"/>
            <w:tcBorders>
              <w:top w:val="nil"/>
              <w:left w:val="nil"/>
              <w:bottom w:val="nil"/>
              <w:right w:val="nil"/>
            </w:tcBorders>
            <w:shd w:val="clear" w:color="auto" w:fill="auto"/>
            <w:hideMark/>
          </w:tcPr>
          <w:p w14:paraId="1CCB5EA3"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40FA4558" w14:textId="77777777" w:rsidR="00230364" w:rsidRPr="00230364" w:rsidRDefault="00230364" w:rsidP="00230364">
            <w:pPr>
              <w:jc w:val="center"/>
              <w:rPr>
                <w:rFonts w:cs="Arial"/>
                <w:color w:val="000000"/>
                <w:sz w:val="24"/>
                <w:szCs w:val="24"/>
              </w:rPr>
            </w:pPr>
            <w:r w:rsidRPr="00230364">
              <w:rPr>
                <w:rFonts w:cs="Arial"/>
                <w:color w:val="000000"/>
                <w:sz w:val="24"/>
                <w:szCs w:val="24"/>
              </w:rPr>
              <w:t>25</w:t>
            </w:r>
          </w:p>
        </w:tc>
      </w:tr>
      <w:tr w:rsidR="00230364" w:rsidRPr="00230364" w14:paraId="7C361C9E" w14:textId="77777777" w:rsidTr="00230364">
        <w:trPr>
          <w:trHeight w:val="300"/>
        </w:trPr>
        <w:tc>
          <w:tcPr>
            <w:tcW w:w="4560" w:type="dxa"/>
            <w:tcBorders>
              <w:top w:val="nil"/>
              <w:left w:val="nil"/>
              <w:bottom w:val="nil"/>
              <w:right w:val="nil"/>
            </w:tcBorders>
            <w:shd w:val="clear" w:color="auto" w:fill="auto"/>
            <w:hideMark/>
          </w:tcPr>
          <w:p w14:paraId="12A248D1" w14:textId="77777777" w:rsidR="00230364" w:rsidRPr="00230364" w:rsidRDefault="00230364" w:rsidP="00230364">
            <w:pPr>
              <w:jc w:val="left"/>
              <w:rPr>
                <w:rFonts w:cs="Arial"/>
                <w:color w:val="000000"/>
                <w:sz w:val="24"/>
                <w:szCs w:val="24"/>
              </w:rPr>
            </w:pPr>
            <w:r w:rsidRPr="00230364">
              <w:rPr>
                <w:rFonts w:cs="Arial"/>
                <w:color w:val="000000"/>
                <w:sz w:val="24"/>
                <w:szCs w:val="24"/>
              </w:rPr>
              <w:t>Consultancy Fees Asset condition surveys/ M &amp; E</w:t>
            </w:r>
          </w:p>
        </w:tc>
        <w:tc>
          <w:tcPr>
            <w:tcW w:w="1380" w:type="dxa"/>
            <w:tcBorders>
              <w:top w:val="nil"/>
              <w:left w:val="nil"/>
              <w:bottom w:val="nil"/>
              <w:right w:val="nil"/>
            </w:tcBorders>
            <w:shd w:val="clear" w:color="auto" w:fill="auto"/>
            <w:hideMark/>
          </w:tcPr>
          <w:p w14:paraId="76D04168" w14:textId="77777777" w:rsidR="00230364" w:rsidRPr="00230364" w:rsidRDefault="00230364" w:rsidP="00230364">
            <w:pPr>
              <w:jc w:val="center"/>
              <w:rPr>
                <w:rFonts w:cs="Arial"/>
                <w:color w:val="000000"/>
                <w:sz w:val="24"/>
                <w:szCs w:val="24"/>
              </w:rPr>
            </w:pPr>
            <w:r w:rsidRPr="00230364">
              <w:rPr>
                <w:rFonts w:cs="Arial"/>
                <w:color w:val="000000"/>
                <w:sz w:val="24"/>
                <w:szCs w:val="24"/>
              </w:rPr>
              <w:t>24</w:t>
            </w:r>
          </w:p>
        </w:tc>
        <w:tc>
          <w:tcPr>
            <w:tcW w:w="1380" w:type="dxa"/>
            <w:tcBorders>
              <w:top w:val="nil"/>
              <w:left w:val="nil"/>
              <w:bottom w:val="nil"/>
              <w:right w:val="nil"/>
            </w:tcBorders>
            <w:shd w:val="clear" w:color="auto" w:fill="auto"/>
            <w:hideMark/>
          </w:tcPr>
          <w:p w14:paraId="2E6A1790" w14:textId="77777777" w:rsidR="00230364" w:rsidRPr="00230364" w:rsidRDefault="00230364" w:rsidP="00230364">
            <w:pPr>
              <w:jc w:val="center"/>
              <w:rPr>
                <w:rFonts w:cs="Arial"/>
                <w:color w:val="000000"/>
                <w:sz w:val="24"/>
                <w:szCs w:val="24"/>
              </w:rPr>
            </w:pPr>
            <w:r w:rsidRPr="00230364">
              <w:rPr>
                <w:rFonts w:cs="Arial"/>
                <w:color w:val="000000"/>
                <w:sz w:val="24"/>
                <w:szCs w:val="24"/>
              </w:rPr>
              <w:t>24</w:t>
            </w:r>
          </w:p>
        </w:tc>
        <w:tc>
          <w:tcPr>
            <w:tcW w:w="1380" w:type="dxa"/>
            <w:tcBorders>
              <w:top w:val="nil"/>
              <w:left w:val="nil"/>
              <w:bottom w:val="nil"/>
              <w:right w:val="nil"/>
            </w:tcBorders>
            <w:shd w:val="clear" w:color="auto" w:fill="auto"/>
            <w:hideMark/>
          </w:tcPr>
          <w:p w14:paraId="3716AEA1" w14:textId="77777777" w:rsidR="00230364" w:rsidRPr="00230364" w:rsidRDefault="00230364" w:rsidP="00230364">
            <w:pPr>
              <w:jc w:val="center"/>
              <w:rPr>
                <w:rFonts w:cs="Arial"/>
                <w:color w:val="000000"/>
                <w:sz w:val="24"/>
                <w:szCs w:val="24"/>
              </w:rPr>
            </w:pPr>
            <w:r w:rsidRPr="00230364">
              <w:rPr>
                <w:rFonts w:cs="Arial"/>
                <w:color w:val="000000"/>
                <w:sz w:val="24"/>
                <w:szCs w:val="24"/>
              </w:rPr>
              <w:t>24</w:t>
            </w:r>
          </w:p>
        </w:tc>
      </w:tr>
      <w:tr w:rsidR="00230364" w:rsidRPr="00230364" w14:paraId="7659F6A7" w14:textId="77777777" w:rsidTr="00230364">
        <w:trPr>
          <w:trHeight w:val="300"/>
        </w:trPr>
        <w:tc>
          <w:tcPr>
            <w:tcW w:w="4560" w:type="dxa"/>
            <w:tcBorders>
              <w:top w:val="nil"/>
              <w:left w:val="nil"/>
              <w:bottom w:val="nil"/>
              <w:right w:val="nil"/>
            </w:tcBorders>
            <w:shd w:val="clear" w:color="auto" w:fill="auto"/>
            <w:hideMark/>
          </w:tcPr>
          <w:p w14:paraId="42F4DA33" w14:textId="77777777" w:rsidR="00230364" w:rsidRPr="00230364" w:rsidRDefault="00230364" w:rsidP="00230364">
            <w:pPr>
              <w:jc w:val="left"/>
              <w:rPr>
                <w:rFonts w:cs="Arial"/>
                <w:color w:val="000000"/>
                <w:sz w:val="24"/>
                <w:szCs w:val="24"/>
              </w:rPr>
            </w:pPr>
            <w:r w:rsidRPr="00230364">
              <w:rPr>
                <w:rFonts w:cs="Arial"/>
                <w:color w:val="000000"/>
                <w:sz w:val="24"/>
                <w:szCs w:val="24"/>
              </w:rPr>
              <w:t xml:space="preserve">DWP Alterations </w:t>
            </w:r>
          </w:p>
        </w:tc>
        <w:tc>
          <w:tcPr>
            <w:tcW w:w="1380" w:type="dxa"/>
            <w:tcBorders>
              <w:top w:val="nil"/>
              <w:left w:val="nil"/>
              <w:bottom w:val="nil"/>
              <w:right w:val="nil"/>
            </w:tcBorders>
            <w:shd w:val="clear" w:color="auto" w:fill="auto"/>
            <w:hideMark/>
          </w:tcPr>
          <w:p w14:paraId="4663B9A8" w14:textId="77777777" w:rsidR="00230364" w:rsidRPr="00230364" w:rsidRDefault="00230364" w:rsidP="00230364">
            <w:pPr>
              <w:jc w:val="center"/>
              <w:rPr>
                <w:rFonts w:cs="Arial"/>
                <w:color w:val="000000"/>
                <w:sz w:val="24"/>
                <w:szCs w:val="24"/>
              </w:rPr>
            </w:pPr>
            <w:r w:rsidRPr="00230364">
              <w:rPr>
                <w:rFonts w:cs="Arial"/>
                <w:color w:val="000000"/>
                <w:sz w:val="24"/>
                <w:szCs w:val="24"/>
              </w:rPr>
              <w:t>40</w:t>
            </w:r>
          </w:p>
        </w:tc>
        <w:tc>
          <w:tcPr>
            <w:tcW w:w="1380" w:type="dxa"/>
            <w:tcBorders>
              <w:top w:val="nil"/>
              <w:left w:val="nil"/>
              <w:bottom w:val="nil"/>
              <w:right w:val="nil"/>
            </w:tcBorders>
            <w:shd w:val="clear" w:color="auto" w:fill="auto"/>
            <w:hideMark/>
          </w:tcPr>
          <w:p w14:paraId="7AD647C8"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098CB720"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05E8DB25" w14:textId="77777777" w:rsidTr="00230364">
        <w:trPr>
          <w:trHeight w:val="600"/>
        </w:trPr>
        <w:tc>
          <w:tcPr>
            <w:tcW w:w="4560" w:type="dxa"/>
            <w:tcBorders>
              <w:top w:val="nil"/>
              <w:left w:val="nil"/>
              <w:bottom w:val="nil"/>
              <w:right w:val="nil"/>
            </w:tcBorders>
            <w:shd w:val="clear" w:color="auto" w:fill="auto"/>
            <w:hideMark/>
          </w:tcPr>
          <w:p w14:paraId="74584F10" w14:textId="77777777" w:rsidR="00230364" w:rsidRPr="00230364" w:rsidRDefault="00230364" w:rsidP="00230364">
            <w:pPr>
              <w:jc w:val="left"/>
              <w:rPr>
                <w:rFonts w:cs="Arial"/>
                <w:color w:val="000000"/>
                <w:sz w:val="24"/>
                <w:szCs w:val="24"/>
              </w:rPr>
            </w:pPr>
            <w:r w:rsidRPr="00230364">
              <w:rPr>
                <w:rFonts w:cs="Arial"/>
                <w:color w:val="000000"/>
                <w:sz w:val="24"/>
                <w:szCs w:val="24"/>
              </w:rPr>
              <w:t>PPW Identified from Asset Condition Surveys</w:t>
            </w:r>
          </w:p>
        </w:tc>
        <w:tc>
          <w:tcPr>
            <w:tcW w:w="1380" w:type="dxa"/>
            <w:tcBorders>
              <w:top w:val="nil"/>
              <w:left w:val="nil"/>
              <w:bottom w:val="nil"/>
              <w:right w:val="nil"/>
            </w:tcBorders>
            <w:shd w:val="clear" w:color="auto" w:fill="auto"/>
            <w:hideMark/>
          </w:tcPr>
          <w:p w14:paraId="7ADE1650" w14:textId="77777777" w:rsidR="00230364" w:rsidRPr="00230364" w:rsidRDefault="00230364" w:rsidP="00230364">
            <w:pPr>
              <w:jc w:val="center"/>
              <w:rPr>
                <w:rFonts w:cs="Arial"/>
                <w:color w:val="000000"/>
                <w:sz w:val="24"/>
                <w:szCs w:val="24"/>
              </w:rPr>
            </w:pPr>
            <w:r w:rsidRPr="00230364">
              <w:rPr>
                <w:rFonts w:cs="Arial"/>
                <w:color w:val="000000"/>
                <w:sz w:val="24"/>
                <w:szCs w:val="24"/>
              </w:rPr>
              <w:t>250</w:t>
            </w:r>
          </w:p>
        </w:tc>
        <w:tc>
          <w:tcPr>
            <w:tcW w:w="1380" w:type="dxa"/>
            <w:tcBorders>
              <w:top w:val="nil"/>
              <w:left w:val="nil"/>
              <w:bottom w:val="nil"/>
              <w:right w:val="nil"/>
            </w:tcBorders>
            <w:shd w:val="clear" w:color="auto" w:fill="auto"/>
            <w:hideMark/>
          </w:tcPr>
          <w:p w14:paraId="350B04DB" w14:textId="77777777" w:rsidR="00230364" w:rsidRPr="00230364" w:rsidRDefault="00230364" w:rsidP="00230364">
            <w:pPr>
              <w:jc w:val="center"/>
              <w:rPr>
                <w:rFonts w:cs="Arial"/>
                <w:color w:val="000000"/>
                <w:sz w:val="24"/>
                <w:szCs w:val="24"/>
              </w:rPr>
            </w:pPr>
            <w:r w:rsidRPr="00230364">
              <w:rPr>
                <w:rFonts w:cs="Arial"/>
                <w:color w:val="000000"/>
                <w:sz w:val="24"/>
                <w:szCs w:val="24"/>
              </w:rPr>
              <w:t>350</w:t>
            </w:r>
          </w:p>
        </w:tc>
        <w:tc>
          <w:tcPr>
            <w:tcW w:w="1380" w:type="dxa"/>
            <w:tcBorders>
              <w:top w:val="nil"/>
              <w:left w:val="nil"/>
              <w:bottom w:val="nil"/>
              <w:right w:val="nil"/>
            </w:tcBorders>
            <w:shd w:val="clear" w:color="auto" w:fill="auto"/>
            <w:hideMark/>
          </w:tcPr>
          <w:p w14:paraId="02C620E6" w14:textId="77777777" w:rsidR="00230364" w:rsidRPr="00230364" w:rsidRDefault="00230364" w:rsidP="00230364">
            <w:pPr>
              <w:jc w:val="center"/>
              <w:rPr>
                <w:rFonts w:cs="Arial"/>
                <w:color w:val="000000"/>
                <w:sz w:val="24"/>
                <w:szCs w:val="24"/>
              </w:rPr>
            </w:pPr>
            <w:r w:rsidRPr="00230364">
              <w:rPr>
                <w:rFonts w:cs="Arial"/>
                <w:color w:val="000000"/>
                <w:sz w:val="24"/>
                <w:szCs w:val="24"/>
              </w:rPr>
              <w:t>400</w:t>
            </w:r>
          </w:p>
        </w:tc>
      </w:tr>
      <w:tr w:rsidR="00230364" w:rsidRPr="00230364" w14:paraId="1B0C38D0" w14:textId="77777777" w:rsidTr="00230364">
        <w:trPr>
          <w:trHeight w:val="600"/>
        </w:trPr>
        <w:tc>
          <w:tcPr>
            <w:tcW w:w="4560" w:type="dxa"/>
            <w:tcBorders>
              <w:top w:val="nil"/>
              <w:left w:val="nil"/>
              <w:bottom w:val="nil"/>
              <w:right w:val="nil"/>
            </w:tcBorders>
            <w:shd w:val="clear" w:color="auto" w:fill="auto"/>
            <w:hideMark/>
          </w:tcPr>
          <w:p w14:paraId="512BC7C6" w14:textId="77777777" w:rsidR="00230364" w:rsidRPr="00230364" w:rsidRDefault="00230364" w:rsidP="00230364">
            <w:pPr>
              <w:jc w:val="left"/>
              <w:rPr>
                <w:rFonts w:cs="Arial"/>
                <w:color w:val="000000"/>
                <w:sz w:val="24"/>
                <w:szCs w:val="24"/>
              </w:rPr>
            </w:pPr>
            <w:proofErr w:type="spellStart"/>
            <w:r w:rsidRPr="00230364">
              <w:rPr>
                <w:rFonts w:cs="Arial"/>
                <w:color w:val="000000"/>
                <w:sz w:val="24"/>
                <w:szCs w:val="24"/>
              </w:rPr>
              <w:t>Walkden</w:t>
            </w:r>
            <w:proofErr w:type="spellEnd"/>
            <w:r w:rsidRPr="00230364">
              <w:rPr>
                <w:rFonts w:cs="Arial"/>
                <w:color w:val="000000"/>
                <w:sz w:val="24"/>
                <w:szCs w:val="24"/>
              </w:rPr>
              <w:t xml:space="preserve"> Street Car Park - Roof repairs and link corridor.</w:t>
            </w:r>
          </w:p>
        </w:tc>
        <w:tc>
          <w:tcPr>
            <w:tcW w:w="1380" w:type="dxa"/>
            <w:tcBorders>
              <w:top w:val="nil"/>
              <w:left w:val="nil"/>
              <w:bottom w:val="nil"/>
              <w:right w:val="nil"/>
            </w:tcBorders>
            <w:shd w:val="clear" w:color="auto" w:fill="auto"/>
            <w:hideMark/>
          </w:tcPr>
          <w:p w14:paraId="179BE3A5" w14:textId="77777777" w:rsidR="00230364" w:rsidRPr="00230364" w:rsidRDefault="00230364" w:rsidP="00230364">
            <w:pPr>
              <w:jc w:val="center"/>
              <w:rPr>
                <w:rFonts w:cs="Arial"/>
                <w:color w:val="000000"/>
                <w:sz w:val="24"/>
                <w:szCs w:val="24"/>
              </w:rPr>
            </w:pPr>
            <w:r w:rsidRPr="00230364">
              <w:rPr>
                <w:rFonts w:cs="Arial"/>
                <w:color w:val="000000"/>
                <w:sz w:val="24"/>
                <w:szCs w:val="24"/>
              </w:rPr>
              <w:t>75</w:t>
            </w:r>
          </w:p>
        </w:tc>
        <w:tc>
          <w:tcPr>
            <w:tcW w:w="1380" w:type="dxa"/>
            <w:tcBorders>
              <w:top w:val="nil"/>
              <w:left w:val="nil"/>
              <w:bottom w:val="nil"/>
              <w:right w:val="nil"/>
            </w:tcBorders>
            <w:shd w:val="clear" w:color="auto" w:fill="auto"/>
            <w:hideMark/>
          </w:tcPr>
          <w:p w14:paraId="5278EAA3"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03CE43D0"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1AECFFCE" w14:textId="77777777" w:rsidTr="00230364">
        <w:trPr>
          <w:trHeight w:val="300"/>
        </w:trPr>
        <w:tc>
          <w:tcPr>
            <w:tcW w:w="4560" w:type="dxa"/>
            <w:tcBorders>
              <w:top w:val="nil"/>
              <w:left w:val="nil"/>
              <w:bottom w:val="nil"/>
              <w:right w:val="nil"/>
            </w:tcBorders>
            <w:shd w:val="clear" w:color="auto" w:fill="auto"/>
            <w:hideMark/>
          </w:tcPr>
          <w:p w14:paraId="3EEC4A85" w14:textId="77777777" w:rsidR="00230364" w:rsidRPr="00230364" w:rsidRDefault="00230364" w:rsidP="00230364">
            <w:pPr>
              <w:jc w:val="left"/>
              <w:rPr>
                <w:rFonts w:cs="Arial"/>
                <w:color w:val="000000"/>
                <w:sz w:val="24"/>
                <w:szCs w:val="24"/>
              </w:rPr>
            </w:pPr>
            <w:r w:rsidRPr="00230364">
              <w:rPr>
                <w:rFonts w:cs="Arial"/>
                <w:color w:val="000000"/>
                <w:sz w:val="24"/>
                <w:szCs w:val="24"/>
              </w:rPr>
              <w:t>Manor Park Pavilion Roof</w:t>
            </w:r>
          </w:p>
        </w:tc>
        <w:tc>
          <w:tcPr>
            <w:tcW w:w="1380" w:type="dxa"/>
            <w:tcBorders>
              <w:top w:val="nil"/>
              <w:left w:val="nil"/>
              <w:bottom w:val="nil"/>
              <w:right w:val="nil"/>
            </w:tcBorders>
            <w:shd w:val="clear" w:color="auto" w:fill="auto"/>
            <w:hideMark/>
          </w:tcPr>
          <w:p w14:paraId="09F3AAAF" w14:textId="77777777" w:rsidR="00230364" w:rsidRPr="00230364" w:rsidRDefault="00230364" w:rsidP="00230364">
            <w:pPr>
              <w:jc w:val="center"/>
              <w:rPr>
                <w:rFonts w:cs="Arial"/>
                <w:color w:val="000000"/>
                <w:sz w:val="24"/>
                <w:szCs w:val="24"/>
              </w:rPr>
            </w:pPr>
            <w:r w:rsidRPr="00230364">
              <w:rPr>
                <w:rFonts w:cs="Arial"/>
                <w:color w:val="000000"/>
                <w:sz w:val="24"/>
                <w:szCs w:val="24"/>
              </w:rPr>
              <w:t>25</w:t>
            </w:r>
          </w:p>
        </w:tc>
        <w:tc>
          <w:tcPr>
            <w:tcW w:w="1380" w:type="dxa"/>
            <w:tcBorders>
              <w:top w:val="nil"/>
              <w:left w:val="nil"/>
              <w:bottom w:val="nil"/>
              <w:right w:val="nil"/>
            </w:tcBorders>
            <w:shd w:val="clear" w:color="auto" w:fill="auto"/>
            <w:hideMark/>
          </w:tcPr>
          <w:p w14:paraId="63E7B14C"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4A899384"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724CD02A" w14:textId="77777777" w:rsidTr="00230364">
        <w:trPr>
          <w:trHeight w:val="300"/>
        </w:trPr>
        <w:tc>
          <w:tcPr>
            <w:tcW w:w="4560" w:type="dxa"/>
            <w:tcBorders>
              <w:top w:val="nil"/>
              <w:left w:val="nil"/>
              <w:bottom w:val="nil"/>
              <w:right w:val="nil"/>
            </w:tcBorders>
            <w:shd w:val="clear" w:color="auto" w:fill="auto"/>
            <w:hideMark/>
          </w:tcPr>
          <w:p w14:paraId="111E34F1" w14:textId="77777777" w:rsidR="00230364" w:rsidRPr="00230364" w:rsidRDefault="00230364" w:rsidP="00230364">
            <w:pPr>
              <w:jc w:val="left"/>
              <w:rPr>
                <w:rFonts w:cs="Arial"/>
                <w:color w:val="000000"/>
                <w:sz w:val="24"/>
                <w:szCs w:val="24"/>
              </w:rPr>
            </w:pPr>
            <w:r w:rsidRPr="00230364">
              <w:rPr>
                <w:rFonts w:cs="Arial"/>
                <w:color w:val="000000"/>
                <w:sz w:val="24"/>
                <w:szCs w:val="24"/>
              </w:rPr>
              <w:t>Town Hall - Drainage</w:t>
            </w:r>
          </w:p>
        </w:tc>
        <w:tc>
          <w:tcPr>
            <w:tcW w:w="1380" w:type="dxa"/>
            <w:tcBorders>
              <w:top w:val="nil"/>
              <w:left w:val="nil"/>
              <w:bottom w:val="nil"/>
              <w:right w:val="nil"/>
            </w:tcBorders>
            <w:shd w:val="clear" w:color="auto" w:fill="auto"/>
            <w:hideMark/>
          </w:tcPr>
          <w:p w14:paraId="4EE1B061" w14:textId="77777777" w:rsidR="00230364" w:rsidRPr="00230364" w:rsidRDefault="00230364" w:rsidP="00230364">
            <w:pPr>
              <w:jc w:val="center"/>
              <w:rPr>
                <w:rFonts w:cs="Arial"/>
                <w:color w:val="000000"/>
                <w:sz w:val="24"/>
                <w:szCs w:val="24"/>
              </w:rPr>
            </w:pPr>
            <w:r w:rsidRPr="00230364">
              <w:rPr>
                <w:rFonts w:cs="Arial"/>
                <w:color w:val="000000"/>
                <w:sz w:val="24"/>
                <w:szCs w:val="24"/>
              </w:rPr>
              <w:t>30</w:t>
            </w:r>
          </w:p>
        </w:tc>
        <w:tc>
          <w:tcPr>
            <w:tcW w:w="1380" w:type="dxa"/>
            <w:tcBorders>
              <w:top w:val="nil"/>
              <w:left w:val="nil"/>
              <w:bottom w:val="nil"/>
              <w:right w:val="nil"/>
            </w:tcBorders>
            <w:shd w:val="clear" w:color="auto" w:fill="auto"/>
            <w:hideMark/>
          </w:tcPr>
          <w:p w14:paraId="4338673C"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65DD3526"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5FF72E90" w14:textId="77777777" w:rsidTr="00230364">
        <w:trPr>
          <w:trHeight w:val="300"/>
        </w:trPr>
        <w:tc>
          <w:tcPr>
            <w:tcW w:w="4560" w:type="dxa"/>
            <w:tcBorders>
              <w:top w:val="nil"/>
              <w:left w:val="nil"/>
              <w:bottom w:val="nil"/>
              <w:right w:val="nil"/>
            </w:tcBorders>
            <w:shd w:val="clear" w:color="auto" w:fill="auto"/>
            <w:hideMark/>
          </w:tcPr>
          <w:p w14:paraId="07DAC18A" w14:textId="77777777" w:rsidR="00230364" w:rsidRPr="00230364" w:rsidRDefault="00230364" w:rsidP="00230364">
            <w:pPr>
              <w:jc w:val="left"/>
              <w:rPr>
                <w:rFonts w:cs="Arial"/>
                <w:color w:val="000000"/>
                <w:sz w:val="24"/>
                <w:szCs w:val="24"/>
              </w:rPr>
            </w:pPr>
            <w:r w:rsidRPr="00230364">
              <w:rPr>
                <w:rFonts w:cs="Arial"/>
                <w:color w:val="000000"/>
                <w:sz w:val="24"/>
                <w:szCs w:val="24"/>
              </w:rPr>
              <w:t>Civic Centre - Function Suite</w:t>
            </w:r>
          </w:p>
        </w:tc>
        <w:tc>
          <w:tcPr>
            <w:tcW w:w="1380" w:type="dxa"/>
            <w:tcBorders>
              <w:top w:val="nil"/>
              <w:left w:val="nil"/>
              <w:bottom w:val="nil"/>
              <w:right w:val="nil"/>
            </w:tcBorders>
            <w:shd w:val="clear" w:color="auto" w:fill="auto"/>
            <w:hideMark/>
          </w:tcPr>
          <w:p w14:paraId="6E3F7C5C" w14:textId="77777777" w:rsidR="00230364" w:rsidRPr="00230364" w:rsidRDefault="00230364" w:rsidP="00230364">
            <w:pPr>
              <w:jc w:val="center"/>
              <w:rPr>
                <w:rFonts w:cs="Arial"/>
                <w:color w:val="000000"/>
                <w:sz w:val="24"/>
                <w:szCs w:val="24"/>
              </w:rPr>
            </w:pPr>
            <w:r w:rsidRPr="00230364">
              <w:rPr>
                <w:rFonts w:cs="Arial"/>
                <w:color w:val="000000"/>
                <w:sz w:val="24"/>
                <w:szCs w:val="24"/>
              </w:rPr>
              <w:t>50</w:t>
            </w:r>
          </w:p>
        </w:tc>
        <w:tc>
          <w:tcPr>
            <w:tcW w:w="1380" w:type="dxa"/>
            <w:tcBorders>
              <w:top w:val="nil"/>
              <w:left w:val="nil"/>
              <w:bottom w:val="nil"/>
              <w:right w:val="nil"/>
            </w:tcBorders>
            <w:shd w:val="clear" w:color="auto" w:fill="auto"/>
            <w:hideMark/>
          </w:tcPr>
          <w:p w14:paraId="1492BC3A"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5C4BB8A3"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64261699" w14:textId="77777777" w:rsidTr="00230364">
        <w:trPr>
          <w:trHeight w:val="300"/>
        </w:trPr>
        <w:tc>
          <w:tcPr>
            <w:tcW w:w="4560" w:type="dxa"/>
            <w:tcBorders>
              <w:top w:val="nil"/>
              <w:left w:val="nil"/>
              <w:bottom w:val="nil"/>
              <w:right w:val="nil"/>
            </w:tcBorders>
            <w:shd w:val="clear" w:color="auto" w:fill="auto"/>
            <w:hideMark/>
          </w:tcPr>
          <w:p w14:paraId="28C232FD" w14:textId="77777777" w:rsidR="00230364" w:rsidRPr="00230364" w:rsidRDefault="00230364" w:rsidP="00230364">
            <w:pPr>
              <w:jc w:val="left"/>
              <w:rPr>
                <w:rFonts w:cs="Arial"/>
                <w:color w:val="000000"/>
                <w:sz w:val="24"/>
                <w:szCs w:val="24"/>
              </w:rPr>
            </w:pPr>
            <w:r w:rsidRPr="00230364">
              <w:rPr>
                <w:rFonts w:cs="Arial"/>
                <w:color w:val="000000"/>
                <w:sz w:val="24"/>
                <w:szCs w:val="24"/>
              </w:rPr>
              <w:t>Civic Centre - Members/Council Chamber</w:t>
            </w:r>
          </w:p>
        </w:tc>
        <w:tc>
          <w:tcPr>
            <w:tcW w:w="1380" w:type="dxa"/>
            <w:tcBorders>
              <w:top w:val="nil"/>
              <w:left w:val="nil"/>
              <w:bottom w:val="nil"/>
              <w:right w:val="nil"/>
            </w:tcBorders>
            <w:shd w:val="clear" w:color="auto" w:fill="auto"/>
            <w:hideMark/>
          </w:tcPr>
          <w:p w14:paraId="3D2AE43C" w14:textId="77777777" w:rsidR="00230364" w:rsidRPr="00230364" w:rsidRDefault="00230364" w:rsidP="00230364">
            <w:pPr>
              <w:jc w:val="center"/>
              <w:rPr>
                <w:rFonts w:cs="Arial"/>
                <w:color w:val="000000"/>
                <w:sz w:val="24"/>
                <w:szCs w:val="24"/>
              </w:rPr>
            </w:pPr>
            <w:r w:rsidRPr="00230364">
              <w:rPr>
                <w:rFonts w:cs="Arial"/>
                <w:color w:val="000000"/>
                <w:sz w:val="24"/>
                <w:szCs w:val="24"/>
              </w:rPr>
              <w:t>100</w:t>
            </w:r>
          </w:p>
        </w:tc>
        <w:tc>
          <w:tcPr>
            <w:tcW w:w="1380" w:type="dxa"/>
            <w:tcBorders>
              <w:top w:val="nil"/>
              <w:left w:val="nil"/>
              <w:bottom w:val="nil"/>
              <w:right w:val="nil"/>
            </w:tcBorders>
            <w:shd w:val="clear" w:color="auto" w:fill="auto"/>
            <w:hideMark/>
          </w:tcPr>
          <w:p w14:paraId="3182A0D9" w14:textId="77777777" w:rsidR="00230364" w:rsidRPr="00230364" w:rsidRDefault="00230364" w:rsidP="00230364">
            <w:pPr>
              <w:jc w:val="center"/>
              <w:rPr>
                <w:rFonts w:cs="Arial"/>
                <w:color w:val="000000"/>
                <w:sz w:val="24"/>
                <w:szCs w:val="24"/>
              </w:rPr>
            </w:pPr>
            <w:r w:rsidRPr="00230364">
              <w:rPr>
                <w:rFonts w:cs="Arial"/>
                <w:color w:val="000000"/>
                <w:sz w:val="24"/>
                <w:szCs w:val="24"/>
              </w:rPr>
              <w:t>25</w:t>
            </w:r>
          </w:p>
        </w:tc>
        <w:tc>
          <w:tcPr>
            <w:tcW w:w="1380" w:type="dxa"/>
            <w:tcBorders>
              <w:top w:val="nil"/>
              <w:left w:val="nil"/>
              <w:bottom w:val="nil"/>
              <w:right w:val="nil"/>
            </w:tcBorders>
            <w:shd w:val="clear" w:color="auto" w:fill="auto"/>
            <w:hideMark/>
          </w:tcPr>
          <w:p w14:paraId="7B617082"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76F20116" w14:textId="77777777" w:rsidTr="00230364">
        <w:trPr>
          <w:trHeight w:val="624"/>
        </w:trPr>
        <w:tc>
          <w:tcPr>
            <w:tcW w:w="4560" w:type="dxa"/>
            <w:tcBorders>
              <w:top w:val="nil"/>
              <w:left w:val="nil"/>
              <w:bottom w:val="nil"/>
              <w:right w:val="nil"/>
            </w:tcBorders>
            <w:shd w:val="clear" w:color="auto" w:fill="auto"/>
            <w:hideMark/>
          </w:tcPr>
          <w:p w14:paraId="243DD0AA" w14:textId="77777777" w:rsidR="00230364" w:rsidRPr="00230364" w:rsidRDefault="00230364" w:rsidP="00230364">
            <w:pPr>
              <w:jc w:val="left"/>
              <w:rPr>
                <w:rFonts w:cs="Arial"/>
                <w:b/>
                <w:bCs/>
                <w:color w:val="000000"/>
                <w:sz w:val="24"/>
                <w:szCs w:val="24"/>
              </w:rPr>
            </w:pPr>
            <w:r w:rsidRPr="00230364">
              <w:rPr>
                <w:rFonts w:cs="Arial"/>
                <w:b/>
                <w:bCs/>
                <w:color w:val="000000"/>
                <w:sz w:val="24"/>
                <w:szCs w:val="24"/>
              </w:rPr>
              <w:t>Total Head of Planning and Regeneration</w:t>
            </w:r>
          </w:p>
        </w:tc>
        <w:tc>
          <w:tcPr>
            <w:tcW w:w="1380" w:type="dxa"/>
            <w:tcBorders>
              <w:top w:val="single" w:sz="4" w:space="0" w:color="auto"/>
              <w:left w:val="nil"/>
              <w:bottom w:val="nil"/>
              <w:right w:val="nil"/>
            </w:tcBorders>
            <w:shd w:val="clear" w:color="auto" w:fill="auto"/>
            <w:hideMark/>
          </w:tcPr>
          <w:p w14:paraId="727ABE81"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3,474</w:t>
            </w:r>
          </w:p>
        </w:tc>
        <w:tc>
          <w:tcPr>
            <w:tcW w:w="1380" w:type="dxa"/>
            <w:tcBorders>
              <w:top w:val="single" w:sz="4" w:space="0" w:color="auto"/>
              <w:left w:val="nil"/>
              <w:bottom w:val="nil"/>
              <w:right w:val="nil"/>
            </w:tcBorders>
            <w:shd w:val="clear" w:color="auto" w:fill="auto"/>
            <w:hideMark/>
          </w:tcPr>
          <w:p w14:paraId="69EB5645"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2,264</w:t>
            </w:r>
          </w:p>
        </w:tc>
        <w:tc>
          <w:tcPr>
            <w:tcW w:w="1380" w:type="dxa"/>
            <w:tcBorders>
              <w:top w:val="single" w:sz="4" w:space="0" w:color="auto"/>
              <w:left w:val="nil"/>
              <w:bottom w:val="nil"/>
              <w:right w:val="nil"/>
            </w:tcBorders>
            <w:shd w:val="clear" w:color="auto" w:fill="auto"/>
            <w:hideMark/>
          </w:tcPr>
          <w:p w14:paraId="04597534"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619</w:t>
            </w:r>
          </w:p>
        </w:tc>
      </w:tr>
      <w:tr w:rsidR="00230364" w:rsidRPr="00230364" w14:paraId="274EBA15" w14:textId="77777777" w:rsidTr="00230364">
        <w:trPr>
          <w:trHeight w:val="300"/>
        </w:trPr>
        <w:tc>
          <w:tcPr>
            <w:tcW w:w="4560" w:type="dxa"/>
            <w:tcBorders>
              <w:top w:val="nil"/>
              <w:left w:val="nil"/>
              <w:bottom w:val="nil"/>
              <w:right w:val="nil"/>
            </w:tcBorders>
            <w:shd w:val="clear" w:color="auto" w:fill="auto"/>
            <w:hideMark/>
          </w:tcPr>
          <w:p w14:paraId="3D20A7D9" w14:textId="77777777" w:rsidR="00230364" w:rsidRPr="00230364" w:rsidRDefault="00230364" w:rsidP="00230364">
            <w:pPr>
              <w:jc w:val="center"/>
              <w:rPr>
                <w:rFonts w:cs="Arial"/>
                <w:b/>
                <w:bCs/>
                <w:color w:val="000000"/>
                <w:sz w:val="24"/>
                <w:szCs w:val="24"/>
              </w:rPr>
            </w:pPr>
          </w:p>
        </w:tc>
        <w:tc>
          <w:tcPr>
            <w:tcW w:w="1380" w:type="dxa"/>
            <w:tcBorders>
              <w:top w:val="nil"/>
              <w:left w:val="nil"/>
              <w:bottom w:val="nil"/>
              <w:right w:val="nil"/>
            </w:tcBorders>
            <w:shd w:val="clear" w:color="auto" w:fill="auto"/>
            <w:hideMark/>
          </w:tcPr>
          <w:p w14:paraId="28D3F73E" w14:textId="77777777" w:rsidR="00230364" w:rsidRPr="00230364" w:rsidRDefault="00230364" w:rsidP="00230364">
            <w:pPr>
              <w:jc w:val="left"/>
              <w:rPr>
                <w:rFonts w:ascii="Times New Roman" w:hAnsi="Times New Roman"/>
                <w:sz w:val="20"/>
                <w:szCs w:val="20"/>
              </w:rPr>
            </w:pPr>
          </w:p>
        </w:tc>
        <w:tc>
          <w:tcPr>
            <w:tcW w:w="1380" w:type="dxa"/>
            <w:tcBorders>
              <w:top w:val="nil"/>
              <w:left w:val="nil"/>
              <w:bottom w:val="nil"/>
              <w:right w:val="nil"/>
            </w:tcBorders>
            <w:shd w:val="clear" w:color="auto" w:fill="auto"/>
            <w:hideMark/>
          </w:tcPr>
          <w:p w14:paraId="66C0BCF8" w14:textId="77777777" w:rsidR="00230364" w:rsidRPr="00230364" w:rsidRDefault="00230364" w:rsidP="00230364">
            <w:pPr>
              <w:jc w:val="center"/>
              <w:rPr>
                <w:rFonts w:ascii="Times New Roman" w:hAnsi="Times New Roman"/>
                <w:sz w:val="20"/>
                <w:szCs w:val="20"/>
              </w:rPr>
            </w:pPr>
          </w:p>
        </w:tc>
        <w:tc>
          <w:tcPr>
            <w:tcW w:w="1380" w:type="dxa"/>
            <w:tcBorders>
              <w:top w:val="nil"/>
              <w:left w:val="nil"/>
              <w:bottom w:val="nil"/>
              <w:right w:val="nil"/>
            </w:tcBorders>
            <w:shd w:val="clear" w:color="auto" w:fill="auto"/>
            <w:hideMark/>
          </w:tcPr>
          <w:p w14:paraId="0B1E5FD2" w14:textId="77777777" w:rsidR="00230364" w:rsidRPr="00230364" w:rsidRDefault="00230364" w:rsidP="00230364">
            <w:pPr>
              <w:jc w:val="center"/>
              <w:rPr>
                <w:rFonts w:ascii="Times New Roman" w:hAnsi="Times New Roman"/>
                <w:sz w:val="20"/>
                <w:szCs w:val="20"/>
              </w:rPr>
            </w:pPr>
          </w:p>
        </w:tc>
      </w:tr>
      <w:tr w:rsidR="00230364" w:rsidRPr="00230364" w14:paraId="4B152754" w14:textId="77777777" w:rsidTr="00230364">
        <w:trPr>
          <w:trHeight w:val="312"/>
        </w:trPr>
        <w:tc>
          <w:tcPr>
            <w:tcW w:w="4560" w:type="dxa"/>
            <w:tcBorders>
              <w:top w:val="nil"/>
              <w:left w:val="nil"/>
              <w:bottom w:val="nil"/>
              <w:right w:val="nil"/>
            </w:tcBorders>
            <w:shd w:val="clear" w:color="auto" w:fill="auto"/>
            <w:hideMark/>
          </w:tcPr>
          <w:p w14:paraId="1245735A" w14:textId="77777777" w:rsidR="00230364" w:rsidRPr="00230364" w:rsidRDefault="00230364" w:rsidP="00230364">
            <w:pPr>
              <w:jc w:val="left"/>
              <w:rPr>
                <w:rFonts w:cs="Arial"/>
                <w:b/>
                <w:bCs/>
                <w:color w:val="000000"/>
                <w:sz w:val="24"/>
                <w:szCs w:val="24"/>
              </w:rPr>
            </w:pPr>
            <w:r w:rsidRPr="00230364">
              <w:rPr>
                <w:rFonts w:cs="Arial"/>
                <w:b/>
                <w:bCs/>
                <w:color w:val="000000"/>
                <w:sz w:val="24"/>
                <w:szCs w:val="24"/>
              </w:rPr>
              <w:t>Head of Health and Communities</w:t>
            </w:r>
          </w:p>
        </w:tc>
        <w:tc>
          <w:tcPr>
            <w:tcW w:w="1380" w:type="dxa"/>
            <w:tcBorders>
              <w:top w:val="nil"/>
              <w:left w:val="nil"/>
              <w:bottom w:val="nil"/>
              <w:right w:val="nil"/>
            </w:tcBorders>
            <w:shd w:val="clear" w:color="auto" w:fill="auto"/>
            <w:hideMark/>
          </w:tcPr>
          <w:p w14:paraId="0D66EE42" w14:textId="77777777" w:rsidR="00230364" w:rsidRPr="00230364" w:rsidRDefault="00230364" w:rsidP="00230364">
            <w:pPr>
              <w:jc w:val="left"/>
              <w:rPr>
                <w:rFonts w:cs="Arial"/>
                <w:b/>
                <w:bCs/>
                <w:color w:val="000000"/>
                <w:sz w:val="24"/>
                <w:szCs w:val="24"/>
              </w:rPr>
            </w:pPr>
          </w:p>
        </w:tc>
        <w:tc>
          <w:tcPr>
            <w:tcW w:w="1380" w:type="dxa"/>
            <w:tcBorders>
              <w:top w:val="nil"/>
              <w:left w:val="nil"/>
              <w:bottom w:val="nil"/>
              <w:right w:val="nil"/>
            </w:tcBorders>
            <w:shd w:val="clear" w:color="auto" w:fill="auto"/>
            <w:hideMark/>
          </w:tcPr>
          <w:p w14:paraId="40CF140C" w14:textId="77777777" w:rsidR="00230364" w:rsidRPr="00230364" w:rsidRDefault="00230364" w:rsidP="00230364">
            <w:pPr>
              <w:jc w:val="center"/>
              <w:rPr>
                <w:rFonts w:ascii="Times New Roman" w:hAnsi="Times New Roman"/>
                <w:sz w:val="20"/>
                <w:szCs w:val="20"/>
              </w:rPr>
            </w:pPr>
          </w:p>
        </w:tc>
        <w:tc>
          <w:tcPr>
            <w:tcW w:w="1380" w:type="dxa"/>
            <w:tcBorders>
              <w:top w:val="nil"/>
              <w:left w:val="nil"/>
              <w:bottom w:val="nil"/>
              <w:right w:val="nil"/>
            </w:tcBorders>
            <w:shd w:val="clear" w:color="auto" w:fill="auto"/>
            <w:hideMark/>
          </w:tcPr>
          <w:p w14:paraId="6340E16E" w14:textId="77777777" w:rsidR="00230364" w:rsidRPr="00230364" w:rsidRDefault="00230364" w:rsidP="00230364">
            <w:pPr>
              <w:jc w:val="center"/>
              <w:rPr>
                <w:rFonts w:ascii="Times New Roman" w:hAnsi="Times New Roman"/>
                <w:sz w:val="20"/>
                <w:szCs w:val="20"/>
              </w:rPr>
            </w:pPr>
          </w:p>
        </w:tc>
      </w:tr>
      <w:tr w:rsidR="00230364" w:rsidRPr="00230364" w14:paraId="2B768528" w14:textId="77777777" w:rsidTr="00230364">
        <w:trPr>
          <w:trHeight w:val="300"/>
        </w:trPr>
        <w:tc>
          <w:tcPr>
            <w:tcW w:w="4560" w:type="dxa"/>
            <w:tcBorders>
              <w:top w:val="nil"/>
              <w:left w:val="nil"/>
              <w:bottom w:val="nil"/>
              <w:right w:val="nil"/>
            </w:tcBorders>
            <w:shd w:val="clear" w:color="auto" w:fill="auto"/>
            <w:hideMark/>
          </w:tcPr>
          <w:p w14:paraId="0592B0B7" w14:textId="77777777" w:rsidR="00230364" w:rsidRPr="00230364" w:rsidRDefault="00230364" w:rsidP="00230364">
            <w:pPr>
              <w:jc w:val="left"/>
              <w:rPr>
                <w:rFonts w:cs="Arial"/>
                <w:color w:val="000000"/>
                <w:sz w:val="24"/>
                <w:szCs w:val="24"/>
              </w:rPr>
            </w:pPr>
            <w:r w:rsidRPr="00230364">
              <w:rPr>
                <w:rFonts w:cs="Arial"/>
                <w:color w:val="000000"/>
                <w:sz w:val="24"/>
                <w:szCs w:val="24"/>
              </w:rPr>
              <w:t>Leisure Centres Unallocated</w:t>
            </w:r>
          </w:p>
        </w:tc>
        <w:tc>
          <w:tcPr>
            <w:tcW w:w="1380" w:type="dxa"/>
            <w:tcBorders>
              <w:top w:val="nil"/>
              <w:left w:val="nil"/>
              <w:bottom w:val="nil"/>
              <w:right w:val="nil"/>
            </w:tcBorders>
            <w:shd w:val="clear" w:color="auto" w:fill="auto"/>
            <w:hideMark/>
          </w:tcPr>
          <w:p w14:paraId="6791FEDF" w14:textId="77777777" w:rsidR="00230364" w:rsidRPr="00230364" w:rsidRDefault="00230364" w:rsidP="00230364">
            <w:pPr>
              <w:jc w:val="center"/>
              <w:rPr>
                <w:rFonts w:cs="Arial"/>
                <w:color w:val="000000"/>
                <w:sz w:val="24"/>
                <w:szCs w:val="24"/>
              </w:rPr>
            </w:pPr>
            <w:r w:rsidRPr="00230364">
              <w:rPr>
                <w:rFonts w:cs="Arial"/>
                <w:color w:val="000000"/>
                <w:sz w:val="24"/>
                <w:szCs w:val="24"/>
              </w:rPr>
              <w:t>723</w:t>
            </w:r>
          </w:p>
        </w:tc>
        <w:tc>
          <w:tcPr>
            <w:tcW w:w="1380" w:type="dxa"/>
            <w:tcBorders>
              <w:top w:val="nil"/>
              <w:left w:val="nil"/>
              <w:bottom w:val="nil"/>
              <w:right w:val="nil"/>
            </w:tcBorders>
            <w:shd w:val="clear" w:color="auto" w:fill="auto"/>
            <w:hideMark/>
          </w:tcPr>
          <w:p w14:paraId="66EB9929" w14:textId="77777777" w:rsidR="00230364" w:rsidRPr="00230364" w:rsidRDefault="00230364" w:rsidP="00230364">
            <w:pPr>
              <w:jc w:val="center"/>
              <w:rPr>
                <w:rFonts w:cs="Arial"/>
                <w:color w:val="000000"/>
                <w:sz w:val="24"/>
                <w:szCs w:val="24"/>
              </w:rPr>
            </w:pPr>
            <w:r w:rsidRPr="00230364">
              <w:rPr>
                <w:rFonts w:cs="Arial"/>
                <w:color w:val="000000"/>
                <w:sz w:val="24"/>
                <w:szCs w:val="24"/>
              </w:rPr>
              <w:t>62</w:t>
            </w:r>
          </w:p>
        </w:tc>
        <w:tc>
          <w:tcPr>
            <w:tcW w:w="1380" w:type="dxa"/>
            <w:tcBorders>
              <w:top w:val="nil"/>
              <w:left w:val="nil"/>
              <w:bottom w:val="nil"/>
              <w:right w:val="nil"/>
            </w:tcBorders>
            <w:shd w:val="clear" w:color="auto" w:fill="auto"/>
            <w:hideMark/>
          </w:tcPr>
          <w:p w14:paraId="775FA62A" w14:textId="77777777" w:rsidR="00230364" w:rsidRPr="00230364" w:rsidRDefault="00230364" w:rsidP="00230364">
            <w:pPr>
              <w:jc w:val="center"/>
              <w:rPr>
                <w:rFonts w:cs="Arial"/>
                <w:color w:val="000000"/>
                <w:sz w:val="24"/>
                <w:szCs w:val="24"/>
              </w:rPr>
            </w:pPr>
            <w:r w:rsidRPr="00230364">
              <w:rPr>
                <w:rFonts w:cs="Arial"/>
                <w:color w:val="000000"/>
                <w:sz w:val="24"/>
                <w:szCs w:val="24"/>
              </w:rPr>
              <w:t>22</w:t>
            </w:r>
          </w:p>
        </w:tc>
      </w:tr>
      <w:tr w:rsidR="00230364" w:rsidRPr="00230364" w14:paraId="2F5AAF62" w14:textId="77777777" w:rsidTr="00230364">
        <w:trPr>
          <w:trHeight w:val="312"/>
        </w:trPr>
        <w:tc>
          <w:tcPr>
            <w:tcW w:w="4560" w:type="dxa"/>
            <w:tcBorders>
              <w:top w:val="nil"/>
              <w:left w:val="nil"/>
              <w:bottom w:val="nil"/>
              <w:right w:val="nil"/>
            </w:tcBorders>
            <w:shd w:val="clear" w:color="auto" w:fill="auto"/>
            <w:hideMark/>
          </w:tcPr>
          <w:p w14:paraId="7CDF1895" w14:textId="77777777" w:rsidR="00230364" w:rsidRPr="00230364" w:rsidRDefault="00230364" w:rsidP="00230364">
            <w:pPr>
              <w:jc w:val="left"/>
              <w:rPr>
                <w:rFonts w:cs="Arial"/>
                <w:b/>
                <w:bCs/>
                <w:color w:val="000000"/>
                <w:sz w:val="24"/>
                <w:szCs w:val="24"/>
              </w:rPr>
            </w:pPr>
            <w:r w:rsidRPr="00230364">
              <w:rPr>
                <w:rFonts w:cs="Arial"/>
                <w:b/>
                <w:bCs/>
                <w:color w:val="000000"/>
                <w:sz w:val="24"/>
                <w:szCs w:val="24"/>
              </w:rPr>
              <w:t>Total Head of Health and Communities</w:t>
            </w:r>
          </w:p>
        </w:tc>
        <w:tc>
          <w:tcPr>
            <w:tcW w:w="1380" w:type="dxa"/>
            <w:tcBorders>
              <w:top w:val="single" w:sz="4" w:space="0" w:color="auto"/>
              <w:left w:val="nil"/>
              <w:bottom w:val="nil"/>
              <w:right w:val="nil"/>
            </w:tcBorders>
            <w:shd w:val="clear" w:color="auto" w:fill="auto"/>
            <w:hideMark/>
          </w:tcPr>
          <w:p w14:paraId="15BF1028"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723</w:t>
            </w:r>
          </w:p>
        </w:tc>
        <w:tc>
          <w:tcPr>
            <w:tcW w:w="1380" w:type="dxa"/>
            <w:tcBorders>
              <w:top w:val="single" w:sz="4" w:space="0" w:color="auto"/>
              <w:left w:val="nil"/>
              <w:bottom w:val="nil"/>
              <w:right w:val="nil"/>
            </w:tcBorders>
            <w:shd w:val="clear" w:color="auto" w:fill="auto"/>
            <w:hideMark/>
          </w:tcPr>
          <w:p w14:paraId="5DDB841A"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62</w:t>
            </w:r>
          </w:p>
        </w:tc>
        <w:tc>
          <w:tcPr>
            <w:tcW w:w="1380" w:type="dxa"/>
            <w:tcBorders>
              <w:top w:val="single" w:sz="4" w:space="0" w:color="auto"/>
              <w:left w:val="nil"/>
              <w:bottom w:val="nil"/>
              <w:right w:val="nil"/>
            </w:tcBorders>
            <w:shd w:val="clear" w:color="auto" w:fill="auto"/>
            <w:hideMark/>
          </w:tcPr>
          <w:p w14:paraId="4967D4C7"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22</w:t>
            </w:r>
          </w:p>
        </w:tc>
      </w:tr>
      <w:tr w:rsidR="00230364" w:rsidRPr="00230364" w14:paraId="52C75F6A" w14:textId="77777777" w:rsidTr="00230364">
        <w:trPr>
          <w:trHeight w:val="300"/>
        </w:trPr>
        <w:tc>
          <w:tcPr>
            <w:tcW w:w="4560" w:type="dxa"/>
            <w:tcBorders>
              <w:top w:val="nil"/>
              <w:left w:val="nil"/>
              <w:bottom w:val="nil"/>
              <w:right w:val="nil"/>
            </w:tcBorders>
            <w:shd w:val="clear" w:color="auto" w:fill="auto"/>
            <w:hideMark/>
          </w:tcPr>
          <w:p w14:paraId="45071B51" w14:textId="77777777" w:rsidR="00230364" w:rsidRPr="00230364" w:rsidRDefault="00230364" w:rsidP="00230364">
            <w:pPr>
              <w:jc w:val="center"/>
              <w:rPr>
                <w:rFonts w:cs="Arial"/>
                <w:b/>
                <w:bCs/>
                <w:color w:val="000000"/>
                <w:sz w:val="24"/>
                <w:szCs w:val="24"/>
              </w:rPr>
            </w:pPr>
          </w:p>
        </w:tc>
        <w:tc>
          <w:tcPr>
            <w:tcW w:w="1380" w:type="dxa"/>
            <w:tcBorders>
              <w:top w:val="nil"/>
              <w:left w:val="nil"/>
              <w:bottom w:val="nil"/>
              <w:right w:val="nil"/>
            </w:tcBorders>
            <w:shd w:val="clear" w:color="auto" w:fill="auto"/>
            <w:hideMark/>
          </w:tcPr>
          <w:p w14:paraId="3CAFCEAA" w14:textId="77777777" w:rsidR="00230364" w:rsidRPr="00230364" w:rsidRDefault="00230364" w:rsidP="00230364">
            <w:pPr>
              <w:jc w:val="left"/>
              <w:rPr>
                <w:rFonts w:ascii="Times New Roman" w:hAnsi="Times New Roman"/>
                <w:sz w:val="20"/>
                <w:szCs w:val="20"/>
              </w:rPr>
            </w:pPr>
          </w:p>
        </w:tc>
        <w:tc>
          <w:tcPr>
            <w:tcW w:w="1380" w:type="dxa"/>
            <w:tcBorders>
              <w:top w:val="nil"/>
              <w:left w:val="nil"/>
              <w:bottom w:val="nil"/>
              <w:right w:val="nil"/>
            </w:tcBorders>
            <w:shd w:val="clear" w:color="auto" w:fill="auto"/>
            <w:hideMark/>
          </w:tcPr>
          <w:p w14:paraId="3F981A3D" w14:textId="77777777" w:rsidR="00230364" w:rsidRPr="00230364" w:rsidRDefault="00230364" w:rsidP="00230364">
            <w:pPr>
              <w:jc w:val="center"/>
              <w:rPr>
                <w:rFonts w:ascii="Times New Roman" w:hAnsi="Times New Roman"/>
                <w:sz w:val="20"/>
                <w:szCs w:val="20"/>
              </w:rPr>
            </w:pPr>
          </w:p>
        </w:tc>
        <w:tc>
          <w:tcPr>
            <w:tcW w:w="1380" w:type="dxa"/>
            <w:tcBorders>
              <w:top w:val="nil"/>
              <w:left w:val="nil"/>
              <w:bottom w:val="nil"/>
              <w:right w:val="nil"/>
            </w:tcBorders>
            <w:shd w:val="clear" w:color="auto" w:fill="auto"/>
            <w:hideMark/>
          </w:tcPr>
          <w:p w14:paraId="49335EC4" w14:textId="77777777" w:rsidR="00230364" w:rsidRPr="00230364" w:rsidRDefault="00230364" w:rsidP="00230364">
            <w:pPr>
              <w:jc w:val="center"/>
              <w:rPr>
                <w:rFonts w:ascii="Times New Roman" w:hAnsi="Times New Roman"/>
                <w:sz w:val="20"/>
                <w:szCs w:val="20"/>
              </w:rPr>
            </w:pPr>
          </w:p>
        </w:tc>
      </w:tr>
      <w:tr w:rsidR="00230364" w:rsidRPr="00230364" w14:paraId="383454B9" w14:textId="77777777" w:rsidTr="00230364">
        <w:trPr>
          <w:trHeight w:val="312"/>
        </w:trPr>
        <w:tc>
          <w:tcPr>
            <w:tcW w:w="4560" w:type="dxa"/>
            <w:tcBorders>
              <w:top w:val="nil"/>
              <w:left w:val="nil"/>
              <w:bottom w:val="nil"/>
              <w:right w:val="nil"/>
            </w:tcBorders>
            <w:shd w:val="clear" w:color="auto" w:fill="auto"/>
            <w:hideMark/>
          </w:tcPr>
          <w:p w14:paraId="45A45A05" w14:textId="77777777" w:rsidR="00230364" w:rsidRPr="00230364" w:rsidRDefault="00230364" w:rsidP="00230364">
            <w:pPr>
              <w:jc w:val="left"/>
              <w:rPr>
                <w:rFonts w:cs="Arial"/>
                <w:b/>
                <w:bCs/>
                <w:color w:val="000000"/>
                <w:sz w:val="24"/>
                <w:szCs w:val="24"/>
              </w:rPr>
            </w:pPr>
            <w:r w:rsidRPr="00230364">
              <w:rPr>
                <w:rFonts w:cs="Arial"/>
                <w:b/>
                <w:bCs/>
                <w:color w:val="000000"/>
                <w:sz w:val="24"/>
                <w:szCs w:val="24"/>
              </w:rPr>
              <w:t>Head of Law and Governance</w:t>
            </w:r>
          </w:p>
        </w:tc>
        <w:tc>
          <w:tcPr>
            <w:tcW w:w="1380" w:type="dxa"/>
            <w:tcBorders>
              <w:top w:val="nil"/>
              <w:left w:val="nil"/>
              <w:bottom w:val="nil"/>
              <w:right w:val="nil"/>
            </w:tcBorders>
            <w:shd w:val="clear" w:color="auto" w:fill="auto"/>
            <w:hideMark/>
          </w:tcPr>
          <w:p w14:paraId="4D1E5CF7" w14:textId="77777777" w:rsidR="00230364" w:rsidRPr="00230364" w:rsidRDefault="00230364" w:rsidP="00230364">
            <w:pPr>
              <w:jc w:val="left"/>
              <w:rPr>
                <w:rFonts w:cs="Arial"/>
                <w:b/>
                <w:bCs/>
                <w:color w:val="000000"/>
                <w:sz w:val="24"/>
                <w:szCs w:val="24"/>
              </w:rPr>
            </w:pPr>
          </w:p>
        </w:tc>
        <w:tc>
          <w:tcPr>
            <w:tcW w:w="1380" w:type="dxa"/>
            <w:tcBorders>
              <w:top w:val="nil"/>
              <w:left w:val="nil"/>
              <w:bottom w:val="nil"/>
              <w:right w:val="nil"/>
            </w:tcBorders>
            <w:shd w:val="clear" w:color="auto" w:fill="auto"/>
            <w:hideMark/>
          </w:tcPr>
          <w:p w14:paraId="20E13FD5" w14:textId="77777777" w:rsidR="00230364" w:rsidRPr="00230364" w:rsidRDefault="00230364" w:rsidP="00230364">
            <w:pPr>
              <w:jc w:val="center"/>
              <w:rPr>
                <w:rFonts w:ascii="Times New Roman" w:hAnsi="Times New Roman"/>
                <w:sz w:val="20"/>
                <w:szCs w:val="20"/>
              </w:rPr>
            </w:pPr>
          </w:p>
        </w:tc>
        <w:tc>
          <w:tcPr>
            <w:tcW w:w="1380" w:type="dxa"/>
            <w:tcBorders>
              <w:top w:val="nil"/>
              <w:left w:val="nil"/>
              <w:bottom w:val="nil"/>
              <w:right w:val="nil"/>
            </w:tcBorders>
            <w:shd w:val="clear" w:color="auto" w:fill="auto"/>
            <w:hideMark/>
          </w:tcPr>
          <w:p w14:paraId="7C5A8885" w14:textId="77777777" w:rsidR="00230364" w:rsidRPr="00230364" w:rsidRDefault="00230364" w:rsidP="00230364">
            <w:pPr>
              <w:jc w:val="center"/>
              <w:rPr>
                <w:rFonts w:ascii="Times New Roman" w:hAnsi="Times New Roman"/>
                <w:sz w:val="20"/>
                <w:szCs w:val="20"/>
              </w:rPr>
            </w:pPr>
          </w:p>
        </w:tc>
      </w:tr>
      <w:tr w:rsidR="00230364" w:rsidRPr="00230364" w14:paraId="25CA4BC0" w14:textId="77777777" w:rsidTr="00230364">
        <w:trPr>
          <w:trHeight w:val="300"/>
        </w:trPr>
        <w:tc>
          <w:tcPr>
            <w:tcW w:w="4560" w:type="dxa"/>
            <w:tcBorders>
              <w:top w:val="nil"/>
              <w:left w:val="nil"/>
              <w:bottom w:val="nil"/>
              <w:right w:val="nil"/>
            </w:tcBorders>
            <w:shd w:val="clear" w:color="auto" w:fill="auto"/>
            <w:hideMark/>
          </w:tcPr>
          <w:p w14:paraId="4AA3012B" w14:textId="77777777" w:rsidR="00230364" w:rsidRPr="00230364" w:rsidRDefault="00230364" w:rsidP="00230364">
            <w:pPr>
              <w:jc w:val="left"/>
              <w:rPr>
                <w:rFonts w:cs="Arial"/>
                <w:color w:val="000000"/>
                <w:sz w:val="24"/>
                <w:szCs w:val="24"/>
              </w:rPr>
            </w:pPr>
            <w:r w:rsidRPr="00230364">
              <w:rPr>
                <w:rFonts w:cs="Arial"/>
                <w:color w:val="000000"/>
                <w:sz w:val="24"/>
                <w:szCs w:val="24"/>
              </w:rPr>
              <w:t>Electronic Voting System</w:t>
            </w:r>
          </w:p>
        </w:tc>
        <w:tc>
          <w:tcPr>
            <w:tcW w:w="1380" w:type="dxa"/>
            <w:tcBorders>
              <w:top w:val="nil"/>
              <w:left w:val="nil"/>
              <w:bottom w:val="nil"/>
              <w:right w:val="nil"/>
            </w:tcBorders>
            <w:shd w:val="clear" w:color="auto" w:fill="auto"/>
            <w:hideMark/>
          </w:tcPr>
          <w:p w14:paraId="6A709ECB" w14:textId="77777777" w:rsidR="00230364" w:rsidRPr="00230364" w:rsidRDefault="00230364" w:rsidP="00230364">
            <w:pPr>
              <w:jc w:val="center"/>
              <w:rPr>
                <w:rFonts w:cs="Arial"/>
                <w:color w:val="000000"/>
                <w:sz w:val="24"/>
                <w:szCs w:val="24"/>
              </w:rPr>
            </w:pPr>
            <w:r w:rsidRPr="00230364">
              <w:rPr>
                <w:rFonts w:cs="Arial"/>
                <w:color w:val="000000"/>
                <w:sz w:val="24"/>
                <w:szCs w:val="24"/>
              </w:rPr>
              <w:t>40</w:t>
            </w:r>
          </w:p>
        </w:tc>
        <w:tc>
          <w:tcPr>
            <w:tcW w:w="1380" w:type="dxa"/>
            <w:tcBorders>
              <w:top w:val="nil"/>
              <w:left w:val="nil"/>
              <w:bottom w:val="nil"/>
              <w:right w:val="nil"/>
            </w:tcBorders>
            <w:shd w:val="clear" w:color="auto" w:fill="auto"/>
            <w:hideMark/>
          </w:tcPr>
          <w:p w14:paraId="7D88B938"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c>
          <w:tcPr>
            <w:tcW w:w="1380" w:type="dxa"/>
            <w:tcBorders>
              <w:top w:val="nil"/>
              <w:left w:val="nil"/>
              <w:bottom w:val="nil"/>
              <w:right w:val="nil"/>
            </w:tcBorders>
            <w:shd w:val="clear" w:color="auto" w:fill="auto"/>
            <w:hideMark/>
          </w:tcPr>
          <w:p w14:paraId="013693A2" w14:textId="77777777" w:rsidR="00230364" w:rsidRPr="00230364" w:rsidRDefault="00230364" w:rsidP="00230364">
            <w:pPr>
              <w:jc w:val="center"/>
              <w:rPr>
                <w:rFonts w:cs="Arial"/>
                <w:color w:val="000000"/>
                <w:sz w:val="24"/>
                <w:szCs w:val="24"/>
              </w:rPr>
            </w:pPr>
            <w:r w:rsidRPr="00230364">
              <w:rPr>
                <w:rFonts w:cs="Arial"/>
                <w:color w:val="000000"/>
                <w:sz w:val="24"/>
                <w:szCs w:val="24"/>
              </w:rPr>
              <w:t>0</w:t>
            </w:r>
          </w:p>
        </w:tc>
      </w:tr>
      <w:tr w:rsidR="00230364" w:rsidRPr="00230364" w14:paraId="72A3C6C8" w14:textId="77777777" w:rsidTr="00230364">
        <w:trPr>
          <w:trHeight w:val="312"/>
        </w:trPr>
        <w:tc>
          <w:tcPr>
            <w:tcW w:w="4560" w:type="dxa"/>
            <w:tcBorders>
              <w:top w:val="nil"/>
              <w:left w:val="nil"/>
              <w:bottom w:val="nil"/>
              <w:right w:val="nil"/>
            </w:tcBorders>
            <w:shd w:val="clear" w:color="auto" w:fill="auto"/>
            <w:hideMark/>
          </w:tcPr>
          <w:p w14:paraId="5CC8CA6F" w14:textId="77777777" w:rsidR="00230364" w:rsidRPr="00230364" w:rsidRDefault="00230364" w:rsidP="00230364">
            <w:pPr>
              <w:jc w:val="left"/>
              <w:rPr>
                <w:rFonts w:cs="Arial"/>
                <w:b/>
                <w:bCs/>
                <w:color w:val="000000"/>
                <w:sz w:val="24"/>
                <w:szCs w:val="24"/>
              </w:rPr>
            </w:pPr>
            <w:r w:rsidRPr="00230364">
              <w:rPr>
                <w:rFonts w:cs="Arial"/>
                <w:b/>
                <w:bCs/>
                <w:color w:val="000000"/>
                <w:sz w:val="24"/>
                <w:szCs w:val="24"/>
              </w:rPr>
              <w:lastRenderedPageBreak/>
              <w:t>Total Head of Law and Governance</w:t>
            </w:r>
          </w:p>
        </w:tc>
        <w:tc>
          <w:tcPr>
            <w:tcW w:w="1380" w:type="dxa"/>
            <w:tcBorders>
              <w:top w:val="single" w:sz="4" w:space="0" w:color="auto"/>
              <w:left w:val="nil"/>
              <w:bottom w:val="nil"/>
              <w:right w:val="nil"/>
            </w:tcBorders>
            <w:shd w:val="clear" w:color="auto" w:fill="auto"/>
            <w:hideMark/>
          </w:tcPr>
          <w:p w14:paraId="1E0AE6D2"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40</w:t>
            </w:r>
          </w:p>
        </w:tc>
        <w:tc>
          <w:tcPr>
            <w:tcW w:w="1380" w:type="dxa"/>
            <w:tcBorders>
              <w:top w:val="single" w:sz="4" w:space="0" w:color="auto"/>
              <w:left w:val="nil"/>
              <w:bottom w:val="nil"/>
              <w:right w:val="nil"/>
            </w:tcBorders>
            <w:shd w:val="clear" w:color="auto" w:fill="auto"/>
            <w:hideMark/>
          </w:tcPr>
          <w:p w14:paraId="2345C408"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0</w:t>
            </w:r>
          </w:p>
        </w:tc>
        <w:tc>
          <w:tcPr>
            <w:tcW w:w="1380" w:type="dxa"/>
            <w:tcBorders>
              <w:top w:val="single" w:sz="4" w:space="0" w:color="auto"/>
              <w:left w:val="nil"/>
              <w:bottom w:val="nil"/>
              <w:right w:val="nil"/>
            </w:tcBorders>
            <w:shd w:val="clear" w:color="auto" w:fill="auto"/>
            <w:hideMark/>
          </w:tcPr>
          <w:p w14:paraId="467E3428"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0</w:t>
            </w:r>
          </w:p>
        </w:tc>
      </w:tr>
      <w:tr w:rsidR="00230364" w:rsidRPr="00230364" w14:paraId="37ABCCC4" w14:textId="77777777" w:rsidTr="00230364">
        <w:trPr>
          <w:trHeight w:val="300"/>
        </w:trPr>
        <w:tc>
          <w:tcPr>
            <w:tcW w:w="4560" w:type="dxa"/>
            <w:tcBorders>
              <w:top w:val="nil"/>
              <w:left w:val="nil"/>
              <w:bottom w:val="nil"/>
              <w:right w:val="nil"/>
            </w:tcBorders>
            <w:shd w:val="clear" w:color="auto" w:fill="auto"/>
            <w:hideMark/>
          </w:tcPr>
          <w:p w14:paraId="100DE836" w14:textId="77777777" w:rsidR="00230364" w:rsidRPr="00230364" w:rsidRDefault="00230364" w:rsidP="00230364">
            <w:pPr>
              <w:jc w:val="center"/>
              <w:rPr>
                <w:rFonts w:cs="Arial"/>
                <w:b/>
                <w:bCs/>
                <w:color w:val="000000"/>
                <w:sz w:val="24"/>
                <w:szCs w:val="24"/>
              </w:rPr>
            </w:pPr>
          </w:p>
        </w:tc>
        <w:tc>
          <w:tcPr>
            <w:tcW w:w="1380" w:type="dxa"/>
            <w:tcBorders>
              <w:top w:val="nil"/>
              <w:left w:val="nil"/>
              <w:bottom w:val="nil"/>
              <w:right w:val="nil"/>
            </w:tcBorders>
            <w:shd w:val="clear" w:color="auto" w:fill="auto"/>
            <w:hideMark/>
          </w:tcPr>
          <w:p w14:paraId="00921558" w14:textId="77777777" w:rsidR="00230364" w:rsidRPr="00230364" w:rsidRDefault="00230364" w:rsidP="00230364">
            <w:pPr>
              <w:jc w:val="left"/>
              <w:rPr>
                <w:rFonts w:ascii="Times New Roman" w:hAnsi="Times New Roman"/>
                <w:sz w:val="20"/>
                <w:szCs w:val="20"/>
              </w:rPr>
            </w:pPr>
          </w:p>
        </w:tc>
        <w:tc>
          <w:tcPr>
            <w:tcW w:w="1380" w:type="dxa"/>
            <w:tcBorders>
              <w:top w:val="nil"/>
              <w:left w:val="nil"/>
              <w:bottom w:val="nil"/>
              <w:right w:val="nil"/>
            </w:tcBorders>
            <w:shd w:val="clear" w:color="auto" w:fill="auto"/>
            <w:hideMark/>
          </w:tcPr>
          <w:p w14:paraId="7F498D82" w14:textId="77777777" w:rsidR="00230364" w:rsidRPr="00230364" w:rsidRDefault="00230364" w:rsidP="00230364">
            <w:pPr>
              <w:jc w:val="center"/>
              <w:rPr>
                <w:rFonts w:ascii="Times New Roman" w:hAnsi="Times New Roman"/>
                <w:sz w:val="20"/>
                <w:szCs w:val="20"/>
              </w:rPr>
            </w:pPr>
          </w:p>
        </w:tc>
        <w:tc>
          <w:tcPr>
            <w:tcW w:w="1380" w:type="dxa"/>
            <w:tcBorders>
              <w:top w:val="nil"/>
              <w:left w:val="nil"/>
              <w:bottom w:val="nil"/>
              <w:right w:val="nil"/>
            </w:tcBorders>
            <w:shd w:val="clear" w:color="auto" w:fill="auto"/>
            <w:hideMark/>
          </w:tcPr>
          <w:p w14:paraId="43C6AB70" w14:textId="77777777" w:rsidR="00230364" w:rsidRPr="00230364" w:rsidRDefault="00230364" w:rsidP="00230364">
            <w:pPr>
              <w:jc w:val="center"/>
              <w:rPr>
                <w:rFonts w:ascii="Times New Roman" w:hAnsi="Times New Roman"/>
                <w:sz w:val="20"/>
                <w:szCs w:val="20"/>
              </w:rPr>
            </w:pPr>
          </w:p>
        </w:tc>
      </w:tr>
      <w:tr w:rsidR="00230364" w:rsidRPr="00230364" w14:paraId="463036B1" w14:textId="77777777" w:rsidTr="00230364">
        <w:trPr>
          <w:trHeight w:val="312"/>
        </w:trPr>
        <w:tc>
          <w:tcPr>
            <w:tcW w:w="4560" w:type="dxa"/>
            <w:tcBorders>
              <w:top w:val="nil"/>
              <w:left w:val="nil"/>
              <w:bottom w:val="nil"/>
              <w:right w:val="nil"/>
            </w:tcBorders>
            <w:shd w:val="clear" w:color="auto" w:fill="auto"/>
            <w:hideMark/>
          </w:tcPr>
          <w:p w14:paraId="54DB5651" w14:textId="77777777" w:rsidR="00230364" w:rsidRPr="00230364" w:rsidRDefault="00230364" w:rsidP="00230364">
            <w:pPr>
              <w:jc w:val="left"/>
              <w:rPr>
                <w:rFonts w:cs="Arial"/>
                <w:b/>
                <w:bCs/>
                <w:color w:val="000000"/>
                <w:sz w:val="24"/>
                <w:szCs w:val="24"/>
              </w:rPr>
            </w:pPr>
            <w:r w:rsidRPr="00230364">
              <w:rPr>
                <w:rFonts w:cs="Arial"/>
                <w:b/>
                <w:bCs/>
                <w:color w:val="000000"/>
                <w:sz w:val="24"/>
                <w:szCs w:val="24"/>
              </w:rPr>
              <w:t>GENERAL FUND TOTAL</w:t>
            </w:r>
          </w:p>
        </w:tc>
        <w:tc>
          <w:tcPr>
            <w:tcW w:w="1380" w:type="dxa"/>
            <w:tcBorders>
              <w:top w:val="single" w:sz="4" w:space="0" w:color="auto"/>
              <w:left w:val="nil"/>
              <w:bottom w:val="nil"/>
              <w:right w:val="nil"/>
            </w:tcBorders>
            <w:shd w:val="clear" w:color="auto" w:fill="auto"/>
            <w:hideMark/>
          </w:tcPr>
          <w:p w14:paraId="7D8B3677"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9,088</w:t>
            </w:r>
          </w:p>
        </w:tc>
        <w:tc>
          <w:tcPr>
            <w:tcW w:w="1380" w:type="dxa"/>
            <w:tcBorders>
              <w:top w:val="single" w:sz="4" w:space="0" w:color="auto"/>
              <w:left w:val="nil"/>
              <w:bottom w:val="nil"/>
              <w:right w:val="nil"/>
            </w:tcBorders>
            <w:shd w:val="clear" w:color="auto" w:fill="auto"/>
            <w:hideMark/>
          </w:tcPr>
          <w:p w14:paraId="60B579A6"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3,803</w:t>
            </w:r>
          </w:p>
        </w:tc>
        <w:tc>
          <w:tcPr>
            <w:tcW w:w="1380" w:type="dxa"/>
            <w:tcBorders>
              <w:top w:val="single" w:sz="4" w:space="0" w:color="auto"/>
              <w:left w:val="nil"/>
              <w:bottom w:val="nil"/>
              <w:right w:val="nil"/>
            </w:tcBorders>
            <w:shd w:val="clear" w:color="auto" w:fill="auto"/>
            <w:hideMark/>
          </w:tcPr>
          <w:p w14:paraId="2D08D06A" w14:textId="77777777" w:rsidR="00230364" w:rsidRPr="00230364" w:rsidRDefault="00230364" w:rsidP="00230364">
            <w:pPr>
              <w:jc w:val="center"/>
              <w:rPr>
                <w:rFonts w:cs="Arial"/>
                <w:b/>
                <w:bCs/>
                <w:color w:val="000000"/>
                <w:sz w:val="24"/>
                <w:szCs w:val="24"/>
              </w:rPr>
            </w:pPr>
            <w:r w:rsidRPr="00230364">
              <w:rPr>
                <w:rFonts w:cs="Arial"/>
                <w:b/>
                <w:bCs/>
                <w:color w:val="000000"/>
                <w:sz w:val="24"/>
                <w:szCs w:val="24"/>
              </w:rPr>
              <w:t>2,118</w:t>
            </w:r>
          </w:p>
        </w:tc>
      </w:tr>
    </w:tbl>
    <w:p w14:paraId="4A06D152" w14:textId="77777777" w:rsidR="00230364" w:rsidRDefault="00230364">
      <w:pPr>
        <w:jc w:val="left"/>
        <w:rPr>
          <w:rFonts w:cs="Arial"/>
          <w:b/>
          <w:sz w:val="32"/>
          <w:szCs w:val="32"/>
        </w:rPr>
      </w:pPr>
      <w:r>
        <w:rPr>
          <w:rFonts w:cs="Arial"/>
          <w:b/>
          <w:sz w:val="32"/>
          <w:szCs w:val="32"/>
        </w:rPr>
        <w:br w:type="page"/>
      </w:r>
    </w:p>
    <w:p w14:paraId="3A584BD5" w14:textId="26C761FC" w:rsidR="005472C8" w:rsidRPr="0095243C" w:rsidRDefault="00F150DB" w:rsidP="00223FC8">
      <w:pPr>
        <w:rPr>
          <w:rFonts w:cs="Arial"/>
          <w:b/>
          <w:sz w:val="32"/>
          <w:szCs w:val="32"/>
        </w:rPr>
      </w:pPr>
      <w:r w:rsidRPr="0095243C">
        <w:rPr>
          <w:rFonts w:cs="Arial"/>
          <w:b/>
          <w:sz w:val="32"/>
          <w:szCs w:val="32"/>
        </w:rPr>
        <w:lastRenderedPageBreak/>
        <w:t xml:space="preserve">Appendix </w:t>
      </w:r>
      <w:r w:rsidR="003B0BE7">
        <w:rPr>
          <w:rFonts w:cs="Arial"/>
          <w:b/>
          <w:sz w:val="32"/>
          <w:szCs w:val="32"/>
        </w:rPr>
        <w:t>5</w:t>
      </w:r>
    </w:p>
    <w:p w14:paraId="686204BE" w14:textId="77777777" w:rsidR="00F150DB" w:rsidRDefault="00F150DB" w:rsidP="00223FC8">
      <w:pPr>
        <w:rPr>
          <w:rFonts w:cs="Arial"/>
          <w:sz w:val="24"/>
          <w:szCs w:val="24"/>
        </w:rPr>
      </w:pPr>
    </w:p>
    <w:tbl>
      <w:tblPr>
        <w:tblW w:w="12300" w:type="dxa"/>
        <w:tblLook w:val="04A0" w:firstRow="1" w:lastRow="0" w:firstColumn="1" w:lastColumn="0" w:noHBand="0" w:noVBand="1"/>
      </w:tblPr>
      <w:tblGrid>
        <w:gridCol w:w="4536"/>
        <w:gridCol w:w="1378"/>
        <w:gridCol w:w="1378"/>
        <w:gridCol w:w="79"/>
        <w:gridCol w:w="1299"/>
        <w:gridCol w:w="969"/>
        <w:gridCol w:w="2661"/>
      </w:tblGrid>
      <w:tr w:rsidR="00306862" w:rsidRPr="00306862" w14:paraId="33FF7EDB" w14:textId="77777777" w:rsidTr="00306862">
        <w:trPr>
          <w:trHeight w:val="312"/>
        </w:trPr>
        <w:tc>
          <w:tcPr>
            <w:tcW w:w="12300" w:type="dxa"/>
            <w:gridSpan w:val="7"/>
            <w:tcBorders>
              <w:top w:val="nil"/>
              <w:left w:val="nil"/>
              <w:bottom w:val="nil"/>
              <w:right w:val="nil"/>
            </w:tcBorders>
            <w:shd w:val="clear" w:color="auto" w:fill="auto"/>
            <w:noWrap/>
            <w:vAlign w:val="bottom"/>
            <w:hideMark/>
          </w:tcPr>
          <w:p w14:paraId="2795AC4B" w14:textId="77777777" w:rsidR="00306862" w:rsidRPr="00306862" w:rsidRDefault="00306862" w:rsidP="00306862">
            <w:pPr>
              <w:jc w:val="left"/>
              <w:rPr>
                <w:rFonts w:cs="Arial"/>
                <w:b/>
                <w:bCs/>
                <w:color w:val="000000"/>
                <w:sz w:val="24"/>
                <w:szCs w:val="24"/>
              </w:rPr>
            </w:pPr>
            <w:r w:rsidRPr="00306862">
              <w:rPr>
                <w:rFonts w:cs="Arial"/>
                <w:b/>
                <w:bCs/>
                <w:color w:val="000000"/>
                <w:sz w:val="24"/>
                <w:szCs w:val="24"/>
              </w:rPr>
              <w:t>Housing Revenue Account Capital Programme 2021/22 to 2023/24</w:t>
            </w:r>
          </w:p>
        </w:tc>
      </w:tr>
      <w:tr w:rsidR="00306862" w:rsidRPr="00306862" w14:paraId="525B2186" w14:textId="77777777" w:rsidTr="00306862">
        <w:trPr>
          <w:trHeight w:val="312"/>
        </w:trPr>
        <w:tc>
          <w:tcPr>
            <w:tcW w:w="4536" w:type="dxa"/>
            <w:tcBorders>
              <w:top w:val="nil"/>
              <w:left w:val="nil"/>
              <w:bottom w:val="nil"/>
              <w:right w:val="nil"/>
            </w:tcBorders>
            <w:shd w:val="clear" w:color="auto" w:fill="auto"/>
            <w:noWrap/>
            <w:vAlign w:val="bottom"/>
            <w:hideMark/>
          </w:tcPr>
          <w:p w14:paraId="6BB26794" w14:textId="77777777" w:rsidR="00306862" w:rsidRPr="00306862" w:rsidRDefault="00306862" w:rsidP="00306862">
            <w:pPr>
              <w:jc w:val="left"/>
              <w:rPr>
                <w:rFonts w:cs="Arial"/>
                <w:b/>
                <w:bCs/>
                <w:color w:val="000000"/>
                <w:sz w:val="24"/>
                <w:szCs w:val="24"/>
              </w:rPr>
            </w:pPr>
          </w:p>
        </w:tc>
        <w:tc>
          <w:tcPr>
            <w:tcW w:w="2835" w:type="dxa"/>
            <w:gridSpan w:val="3"/>
            <w:tcBorders>
              <w:top w:val="nil"/>
              <w:left w:val="nil"/>
              <w:bottom w:val="nil"/>
              <w:right w:val="nil"/>
            </w:tcBorders>
            <w:shd w:val="clear" w:color="auto" w:fill="auto"/>
            <w:noWrap/>
            <w:hideMark/>
          </w:tcPr>
          <w:p w14:paraId="363C98AB" w14:textId="77777777" w:rsidR="00306862" w:rsidRPr="00306862" w:rsidRDefault="00306862" w:rsidP="00306862">
            <w:pPr>
              <w:jc w:val="left"/>
              <w:rPr>
                <w:rFonts w:ascii="Times New Roman" w:hAnsi="Times New Roman"/>
                <w:sz w:val="20"/>
                <w:szCs w:val="20"/>
              </w:rPr>
            </w:pPr>
          </w:p>
        </w:tc>
        <w:tc>
          <w:tcPr>
            <w:tcW w:w="2268" w:type="dxa"/>
            <w:gridSpan w:val="2"/>
            <w:tcBorders>
              <w:top w:val="nil"/>
              <w:left w:val="nil"/>
              <w:bottom w:val="nil"/>
              <w:right w:val="nil"/>
            </w:tcBorders>
            <w:shd w:val="clear" w:color="auto" w:fill="auto"/>
            <w:noWrap/>
            <w:hideMark/>
          </w:tcPr>
          <w:p w14:paraId="4DB9B45B" w14:textId="77777777" w:rsidR="00306862" w:rsidRPr="00306862" w:rsidRDefault="00306862" w:rsidP="00306862">
            <w:pPr>
              <w:jc w:val="center"/>
              <w:rPr>
                <w:rFonts w:ascii="Times New Roman" w:hAnsi="Times New Roman"/>
                <w:sz w:val="20"/>
                <w:szCs w:val="20"/>
              </w:rPr>
            </w:pPr>
          </w:p>
        </w:tc>
        <w:tc>
          <w:tcPr>
            <w:tcW w:w="2661" w:type="dxa"/>
            <w:tcBorders>
              <w:top w:val="nil"/>
              <w:left w:val="nil"/>
              <w:bottom w:val="nil"/>
              <w:right w:val="nil"/>
            </w:tcBorders>
            <w:shd w:val="clear" w:color="auto" w:fill="auto"/>
            <w:noWrap/>
            <w:hideMark/>
          </w:tcPr>
          <w:p w14:paraId="6848F7E6" w14:textId="77777777" w:rsidR="00306862" w:rsidRPr="00306862" w:rsidRDefault="00306862" w:rsidP="00306862">
            <w:pPr>
              <w:jc w:val="center"/>
              <w:rPr>
                <w:rFonts w:ascii="Times New Roman" w:hAnsi="Times New Roman"/>
                <w:sz w:val="20"/>
                <w:szCs w:val="20"/>
              </w:rPr>
            </w:pPr>
          </w:p>
        </w:tc>
      </w:tr>
      <w:tr w:rsidR="00306862" w:rsidRPr="00306862" w14:paraId="4B0C4E20" w14:textId="77777777" w:rsidTr="00306862">
        <w:trPr>
          <w:gridAfter w:val="2"/>
          <w:wAfter w:w="3630" w:type="dxa"/>
          <w:trHeight w:val="312"/>
        </w:trPr>
        <w:tc>
          <w:tcPr>
            <w:tcW w:w="4536" w:type="dxa"/>
            <w:tcBorders>
              <w:top w:val="single" w:sz="4" w:space="0" w:color="auto"/>
              <w:left w:val="nil"/>
              <w:bottom w:val="nil"/>
              <w:right w:val="nil"/>
            </w:tcBorders>
            <w:shd w:val="clear" w:color="auto" w:fill="auto"/>
            <w:noWrap/>
            <w:vAlign w:val="bottom"/>
            <w:hideMark/>
          </w:tcPr>
          <w:p w14:paraId="0D21EBE6" w14:textId="1079CDA6" w:rsidR="00306862" w:rsidRPr="00306862" w:rsidRDefault="00306862" w:rsidP="00306862">
            <w:pPr>
              <w:jc w:val="left"/>
              <w:rPr>
                <w:rFonts w:cs="Arial"/>
                <w:color w:val="000000"/>
                <w:sz w:val="24"/>
                <w:szCs w:val="24"/>
              </w:rPr>
            </w:pPr>
            <w:r w:rsidRPr="00306862">
              <w:rPr>
                <w:rFonts w:cs="Arial"/>
                <w:color w:val="000000"/>
                <w:sz w:val="24"/>
                <w:szCs w:val="24"/>
              </w:rPr>
              <w:t> </w:t>
            </w:r>
            <w:r w:rsidR="00401F43" w:rsidRPr="003C69B7">
              <w:rPr>
                <w:rFonts w:cs="Arial"/>
                <w:b/>
                <w:color w:val="000000"/>
                <w:sz w:val="24"/>
                <w:szCs w:val="24"/>
              </w:rPr>
              <w:t>HRA Capital Programme</w:t>
            </w:r>
          </w:p>
        </w:tc>
        <w:tc>
          <w:tcPr>
            <w:tcW w:w="1378" w:type="dxa"/>
            <w:tcBorders>
              <w:top w:val="single" w:sz="4" w:space="0" w:color="auto"/>
              <w:left w:val="nil"/>
              <w:bottom w:val="nil"/>
              <w:right w:val="nil"/>
            </w:tcBorders>
            <w:shd w:val="clear" w:color="auto" w:fill="auto"/>
            <w:hideMark/>
          </w:tcPr>
          <w:p w14:paraId="69637E57" w14:textId="77777777" w:rsidR="00306862" w:rsidRPr="00306862" w:rsidRDefault="00306862" w:rsidP="00306862">
            <w:pPr>
              <w:jc w:val="center"/>
              <w:rPr>
                <w:rFonts w:cs="Arial"/>
                <w:b/>
                <w:bCs/>
                <w:color w:val="000000"/>
                <w:sz w:val="24"/>
                <w:szCs w:val="24"/>
              </w:rPr>
            </w:pPr>
            <w:r w:rsidRPr="00306862">
              <w:rPr>
                <w:rFonts w:cs="Arial"/>
                <w:b/>
                <w:bCs/>
                <w:color w:val="000000"/>
                <w:sz w:val="24"/>
                <w:szCs w:val="24"/>
              </w:rPr>
              <w:t>2021/22</w:t>
            </w:r>
          </w:p>
        </w:tc>
        <w:tc>
          <w:tcPr>
            <w:tcW w:w="1378" w:type="dxa"/>
            <w:tcBorders>
              <w:top w:val="single" w:sz="4" w:space="0" w:color="auto"/>
              <w:left w:val="nil"/>
              <w:bottom w:val="nil"/>
              <w:right w:val="nil"/>
            </w:tcBorders>
            <w:shd w:val="clear" w:color="auto" w:fill="auto"/>
            <w:hideMark/>
          </w:tcPr>
          <w:p w14:paraId="28F2BAC1" w14:textId="77777777" w:rsidR="00306862" w:rsidRPr="00306862" w:rsidRDefault="00306862" w:rsidP="00306862">
            <w:pPr>
              <w:jc w:val="center"/>
              <w:rPr>
                <w:rFonts w:cs="Arial"/>
                <w:b/>
                <w:bCs/>
                <w:color w:val="000000"/>
                <w:sz w:val="24"/>
                <w:szCs w:val="24"/>
              </w:rPr>
            </w:pPr>
            <w:r w:rsidRPr="00306862">
              <w:rPr>
                <w:rFonts w:cs="Arial"/>
                <w:b/>
                <w:bCs/>
                <w:color w:val="000000"/>
                <w:sz w:val="24"/>
                <w:szCs w:val="24"/>
              </w:rPr>
              <w:t>2022/23</w:t>
            </w:r>
          </w:p>
        </w:tc>
        <w:tc>
          <w:tcPr>
            <w:tcW w:w="1378" w:type="dxa"/>
            <w:gridSpan w:val="2"/>
            <w:tcBorders>
              <w:top w:val="single" w:sz="4" w:space="0" w:color="auto"/>
              <w:left w:val="nil"/>
              <w:bottom w:val="nil"/>
              <w:right w:val="nil"/>
            </w:tcBorders>
            <w:shd w:val="clear" w:color="auto" w:fill="auto"/>
            <w:hideMark/>
          </w:tcPr>
          <w:p w14:paraId="02F34E37" w14:textId="77777777" w:rsidR="00306862" w:rsidRPr="00306862" w:rsidRDefault="00306862" w:rsidP="00306862">
            <w:pPr>
              <w:jc w:val="center"/>
              <w:rPr>
                <w:rFonts w:cs="Arial"/>
                <w:b/>
                <w:bCs/>
                <w:color w:val="000000"/>
                <w:sz w:val="24"/>
                <w:szCs w:val="24"/>
              </w:rPr>
            </w:pPr>
            <w:r w:rsidRPr="00306862">
              <w:rPr>
                <w:rFonts w:cs="Arial"/>
                <w:b/>
                <w:bCs/>
                <w:color w:val="000000"/>
                <w:sz w:val="24"/>
                <w:szCs w:val="24"/>
              </w:rPr>
              <w:t>2023/24</w:t>
            </w:r>
          </w:p>
        </w:tc>
      </w:tr>
      <w:tr w:rsidR="00306862" w:rsidRPr="00306862" w14:paraId="42CB7952" w14:textId="77777777" w:rsidTr="00306862">
        <w:trPr>
          <w:gridAfter w:val="2"/>
          <w:wAfter w:w="3630" w:type="dxa"/>
          <w:trHeight w:val="300"/>
        </w:trPr>
        <w:tc>
          <w:tcPr>
            <w:tcW w:w="4536" w:type="dxa"/>
            <w:tcBorders>
              <w:top w:val="nil"/>
              <w:left w:val="nil"/>
              <w:bottom w:val="single" w:sz="4" w:space="0" w:color="auto"/>
              <w:right w:val="nil"/>
            </w:tcBorders>
            <w:shd w:val="clear" w:color="auto" w:fill="auto"/>
            <w:noWrap/>
            <w:hideMark/>
          </w:tcPr>
          <w:p w14:paraId="321DF9AB" w14:textId="77777777" w:rsidR="00306862" w:rsidRPr="00306862" w:rsidRDefault="00306862" w:rsidP="00306862">
            <w:pPr>
              <w:jc w:val="left"/>
              <w:rPr>
                <w:rFonts w:cs="Arial"/>
                <w:color w:val="000000"/>
                <w:sz w:val="24"/>
                <w:szCs w:val="24"/>
              </w:rPr>
            </w:pPr>
            <w:r w:rsidRPr="00306862">
              <w:rPr>
                <w:rFonts w:cs="Arial"/>
                <w:color w:val="000000"/>
                <w:sz w:val="24"/>
                <w:szCs w:val="24"/>
              </w:rPr>
              <w:t> </w:t>
            </w:r>
          </w:p>
        </w:tc>
        <w:tc>
          <w:tcPr>
            <w:tcW w:w="1378" w:type="dxa"/>
            <w:tcBorders>
              <w:top w:val="nil"/>
              <w:left w:val="nil"/>
              <w:bottom w:val="single" w:sz="4" w:space="0" w:color="auto"/>
              <w:right w:val="nil"/>
            </w:tcBorders>
            <w:shd w:val="clear" w:color="auto" w:fill="auto"/>
            <w:hideMark/>
          </w:tcPr>
          <w:p w14:paraId="42FFF002" w14:textId="77777777" w:rsidR="00306862" w:rsidRPr="00306862" w:rsidRDefault="00306862" w:rsidP="00306862">
            <w:pPr>
              <w:jc w:val="center"/>
              <w:rPr>
                <w:rFonts w:cs="Arial"/>
                <w:color w:val="000000"/>
                <w:sz w:val="24"/>
                <w:szCs w:val="24"/>
              </w:rPr>
            </w:pPr>
            <w:r w:rsidRPr="00306862">
              <w:rPr>
                <w:rFonts w:cs="Arial"/>
                <w:color w:val="000000"/>
                <w:sz w:val="24"/>
                <w:szCs w:val="24"/>
              </w:rPr>
              <w:t>£000</w:t>
            </w:r>
          </w:p>
        </w:tc>
        <w:tc>
          <w:tcPr>
            <w:tcW w:w="1378" w:type="dxa"/>
            <w:tcBorders>
              <w:top w:val="nil"/>
              <w:left w:val="nil"/>
              <w:bottom w:val="single" w:sz="4" w:space="0" w:color="auto"/>
              <w:right w:val="nil"/>
            </w:tcBorders>
            <w:shd w:val="clear" w:color="auto" w:fill="auto"/>
            <w:hideMark/>
          </w:tcPr>
          <w:p w14:paraId="6FA7633A" w14:textId="77777777" w:rsidR="00306862" w:rsidRPr="00306862" w:rsidRDefault="00306862" w:rsidP="00306862">
            <w:pPr>
              <w:jc w:val="center"/>
              <w:rPr>
                <w:rFonts w:cs="Arial"/>
                <w:color w:val="000000"/>
                <w:sz w:val="24"/>
                <w:szCs w:val="24"/>
              </w:rPr>
            </w:pPr>
            <w:r w:rsidRPr="00306862">
              <w:rPr>
                <w:rFonts w:cs="Arial"/>
                <w:color w:val="000000"/>
                <w:sz w:val="24"/>
                <w:szCs w:val="24"/>
              </w:rPr>
              <w:t>£000</w:t>
            </w:r>
          </w:p>
        </w:tc>
        <w:tc>
          <w:tcPr>
            <w:tcW w:w="1378" w:type="dxa"/>
            <w:gridSpan w:val="2"/>
            <w:tcBorders>
              <w:top w:val="nil"/>
              <w:left w:val="nil"/>
              <w:bottom w:val="single" w:sz="4" w:space="0" w:color="auto"/>
              <w:right w:val="nil"/>
            </w:tcBorders>
            <w:shd w:val="clear" w:color="auto" w:fill="auto"/>
            <w:hideMark/>
          </w:tcPr>
          <w:p w14:paraId="0396947F" w14:textId="77777777" w:rsidR="00306862" w:rsidRPr="00306862" w:rsidRDefault="00306862" w:rsidP="00306862">
            <w:pPr>
              <w:jc w:val="center"/>
              <w:rPr>
                <w:rFonts w:cs="Arial"/>
                <w:color w:val="000000"/>
                <w:sz w:val="24"/>
                <w:szCs w:val="24"/>
              </w:rPr>
            </w:pPr>
            <w:r w:rsidRPr="00306862">
              <w:rPr>
                <w:rFonts w:cs="Arial"/>
                <w:color w:val="000000"/>
                <w:sz w:val="24"/>
                <w:szCs w:val="24"/>
              </w:rPr>
              <w:t>£000</w:t>
            </w:r>
          </w:p>
        </w:tc>
      </w:tr>
      <w:tr w:rsidR="00306862" w:rsidRPr="00306862" w14:paraId="7DA07135"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12FA0693" w14:textId="77777777" w:rsidR="00306862" w:rsidRPr="00306862" w:rsidRDefault="00306862" w:rsidP="00306862">
            <w:pPr>
              <w:jc w:val="left"/>
              <w:rPr>
                <w:rFonts w:cs="Arial"/>
                <w:color w:val="000000"/>
                <w:sz w:val="24"/>
                <w:szCs w:val="24"/>
              </w:rPr>
            </w:pPr>
            <w:r w:rsidRPr="00306862">
              <w:rPr>
                <w:rFonts w:cs="Arial"/>
                <w:color w:val="000000"/>
                <w:sz w:val="24"/>
                <w:szCs w:val="24"/>
              </w:rPr>
              <w:t xml:space="preserve">Disabled Adaptations </w:t>
            </w:r>
          </w:p>
        </w:tc>
        <w:tc>
          <w:tcPr>
            <w:tcW w:w="1378" w:type="dxa"/>
            <w:tcBorders>
              <w:top w:val="nil"/>
              <w:left w:val="nil"/>
              <w:bottom w:val="nil"/>
              <w:right w:val="nil"/>
            </w:tcBorders>
            <w:shd w:val="clear" w:color="auto" w:fill="auto"/>
            <w:noWrap/>
            <w:hideMark/>
          </w:tcPr>
          <w:p w14:paraId="1CDAE955" w14:textId="77777777" w:rsidR="00306862" w:rsidRPr="00306862" w:rsidRDefault="00306862" w:rsidP="00306862">
            <w:pPr>
              <w:jc w:val="center"/>
              <w:rPr>
                <w:rFonts w:cs="Arial"/>
                <w:color w:val="000000"/>
                <w:sz w:val="24"/>
                <w:szCs w:val="24"/>
              </w:rPr>
            </w:pPr>
            <w:r w:rsidRPr="00306862">
              <w:rPr>
                <w:rFonts w:cs="Arial"/>
                <w:color w:val="000000"/>
                <w:sz w:val="24"/>
                <w:szCs w:val="24"/>
              </w:rPr>
              <w:t>575</w:t>
            </w:r>
          </w:p>
        </w:tc>
        <w:tc>
          <w:tcPr>
            <w:tcW w:w="1378" w:type="dxa"/>
            <w:tcBorders>
              <w:top w:val="nil"/>
              <w:left w:val="nil"/>
              <w:bottom w:val="nil"/>
              <w:right w:val="nil"/>
            </w:tcBorders>
            <w:shd w:val="clear" w:color="auto" w:fill="auto"/>
            <w:noWrap/>
            <w:hideMark/>
          </w:tcPr>
          <w:p w14:paraId="153610A3" w14:textId="77777777" w:rsidR="00306862" w:rsidRPr="00306862" w:rsidRDefault="00306862" w:rsidP="00306862">
            <w:pPr>
              <w:jc w:val="center"/>
              <w:rPr>
                <w:rFonts w:cs="Arial"/>
                <w:color w:val="000000"/>
                <w:sz w:val="24"/>
                <w:szCs w:val="24"/>
              </w:rPr>
            </w:pPr>
            <w:r w:rsidRPr="00306862">
              <w:rPr>
                <w:rFonts w:cs="Arial"/>
                <w:color w:val="000000"/>
                <w:sz w:val="24"/>
                <w:szCs w:val="24"/>
              </w:rPr>
              <w:t>450</w:t>
            </w:r>
          </w:p>
        </w:tc>
        <w:tc>
          <w:tcPr>
            <w:tcW w:w="1378" w:type="dxa"/>
            <w:gridSpan w:val="2"/>
            <w:tcBorders>
              <w:top w:val="nil"/>
              <w:left w:val="nil"/>
              <w:bottom w:val="nil"/>
              <w:right w:val="nil"/>
            </w:tcBorders>
            <w:shd w:val="clear" w:color="auto" w:fill="auto"/>
            <w:noWrap/>
            <w:hideMark/>
          </w:tcPr>
          <w:p w14:paraId="5628FDE0" w14:textId="77777777" w:rsidR="00306862" w:rsidRPr="00306862" w:rsidRDefault="00306862" w:rsidP="00306862">
            <w:pPr>
              <w:jc w:val="center"/>
              <w:rPr>
                <w:rFonts w:cs="Arial"/>
                <w:color w:val="000000"/>
                <w:sz w:val="24"/>
                <w:szCs w:val="24"/>
              </w:rPr>
            </w:pPr>
            <w:r w:rsidRPr="00306862">
              <w:rPr>
                <w:rFonts w:cs="Arial"/>
                <w:color w:val="000000"/>
                <w:sz w:val="24"/>
                <w:szCs w:val="24"/>
              </w:rPr>
              <w:t>450</w:t>
            </w:r>
          </w:p>
        </w:tc>
      </w:tr>
      <w:tr w:rsidR="00306862" w:rsidRPr="00306862" w14:paraId="12E7C4EC"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0F24019B" w14:textId="77777777" w:rsidR="00306862" w:rsidRPr="00306862" w:rsidRDefault="00306862" w:rsidP="00306862">
            <w:pPr>
              <w:jc w:val="left"/>
              <w:rPr>
                <w:rFonts w:cs="Arial"/>
                <w:color w:val="000000"/>
                <w:sz w:val="24"/>
                <w:szCs w:val="24"/>
              </w:rPr>
            </w:pPr>
            <w:r w:rsidRPr="00306862">
              <w:rPr>
                <w:rFonts w:cs="Arial"/>
                <w:color w:val="000000"/>
                <w:sz w:val="24"/>
                <w:szCs w:val="24"/>
              </w:rPr>
              <w:t>Contract Management Fees</w:t>
            </w:r>
          </w:p>
        </w:tc>
        <w:tc>
          <w:tcPr>
            <w:tcW w:w="1378" w:type="dxa"/>
            <w:tcBorders>
              <w:top w:val="nil"/>
              <w:left w:val="nil"/>
              <w:bottom w:val="nil"/>
              <w:right w:val="nil"/>
            </w:tcBorders>
            <w:shd w:val="clear" w:color="auto" w:fill="auto"/>
            <w:noWrap/>
            <w:hideMark/>
          </w:tcPr>
          <w:p w14:paraId="735E5AD1" w14:textId="77777777" w:rsidR="00306862" w:rsidRPr="00306862" w:rsidRDefault="00306862" w:rsidP="00306862">
            <w:pPr>
              <w:jc w:val="center"/>
              <w:rPr>
                <w:rFonts w:cs="Arial"/>
                <w:color w:val="000000"/>
                <w:sz w:val="24"/>
                <w:szCs w:val="24"/>
              </w:rPr>
            </w:pPr>
            <w:r w:rsidRPr="00306862">
              <w:rPr>
                <w:rFonts w:cs="Arial"/>
                <w:color w:val="000000"/>
                <w:sz w:val="24"/>
                <w:szCs w:val="24"/>
              </w:rPr>
              <w:t>40</w:t>
            </w:r>
          </w:p>
        </w:tc>
        <w:tc>
          <w:tcPr>
            <w:tcW w:w="1378" w:type="dxa"/>
            <w:tcBorders>
              <w:top w:val="nil"/>
              <w:left w:val="nil"/>
              <w:bottom w:val="nil"/>
              <w:right w:val="nil"/>
            </w:tcBorders>
            <w:shd w:val="clear" w:color="auto" w:fill="auto"/>
            <w:noWrap/>
            <w:hideMark/>
          </w:tcPr>
          <w:p w14:paraId="05CEF705" w14:textId="77777777" w:rsidR="00306862" w:rsidRPr="00306862" w:rsidRDefault="00306862" w:rsidP="00306862">
            <w:pPr>
              <w:jc w:val="center"/>
              <w:rPr>
                <w:rFonts w:cs="Arial"/>
                <w:color w:val="000000"/>
                <w:sz w:val="24"/>
                <w:szCs w:val="24"/>
              </w:rPr>
            </w:pPr>
            <w:r w:rsidRPr="00306862">
              <w:rPr>
                <w:rFonts w:cs="Arial"/>
                <w:color w:val="000000"/>
                <w:sz w:val="24"/>
                <w:szCs w:val="24"/>
              </w:rPr>
              <w:t>40</w:t>
            </w:r>
          </w:p>
        </w:tc>
        <w:tc>
          <w:tcPr>
            <w:tcW w:w="1378" w:type="dxa"/>
            <w:gridSpan w:val="2"/>
            <w:tcBorders>
              <w:top w:val="nil"/>
              <w:left w:val="nil"/>
              <w:bottom w:val="nil"/>
              <w:right w:val="nil"/>
            </w:tcBorders>
            <w:shd w:val="clear" w:color="auto" w:fill="auto"/>
            <w:noWrap/>
            <w:hideMark/>
          </w:tcPr>
          <w:p w14:paraId="6FE72E4A" w14:textId="77777777" w:rsidR="00306862" w:rsidRPr="00306862" w:rsidRDefault="00306862" w:rsidP="00306862">
            <w:pPr>
              <w:jc w:val="center"/>
              <w:rPr>
                <w:rFonts w:cs="Arial"/>
                <w:color w:val="000000"/>
                <w:sz w:val="24"/>
                <w:szCs w:val="24"/>
              </w:rPr>
            </w:pPr>
            <w:r w:rsidRPr="00306862">
              <w:rPr>
                <w:rFonts w:cs="Arial"/>
                <w:color w:val="000000"/>
                <w:sz w:val="24"/>
                <w:szCs w:val="24"/>
              </w:rPr>
              <w:t>40</w:t>
            </w:r>
          </w:p>
        </w:tc>
      </w:tr>
      <w:tr w:rsidR="00306862" w:rsidRPr="00306862" w14:paraId="4D3C2C4F"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607A44E9" w14:textId="77777777" w:rsidR="00306862" w:rsidRPr="00306862" w:rsidRDefault="00306862" w:rsidP="00306862">
            <w:pPr>
              <w:jc w:val="left"/>
              <w:rPr>
                <w:rFonts w:cs="Arial"/>
                <w:color w:val="000000"/>
                <w:sz w:val="24"/>
                <w:szCs w:val="24"/>
              </w:rPr>
            </w:pPr>
            <w:r w:rsidRPr="00306862">
              <w:rPr>
                <w:rFonts w:cs="Arial"/>
                <w:color w:val="000000"/>
                <w:sz w:val="24"/>
                <w:szCs w:val="24"/>
              </w:rPr>
              <w:t>Condition Surveys</w:t>
            </w:r>
          </w:p>
        </w:tc>
        <w:tc>
          <w:tcPr>
            <w:tcW w:w="1378" w:type="dxa"/>
            <w:tcBorders>
              <w:top w:val="nil"/>
              <w:left w:val="nil"/>
              <w:bottom w:val="nil"/>
              <w:right w:val="nil"/>
            </w:tcBorders>
            <w:shd w:val="clear" w:color="auto" w:fill="auto"/>
            <w:noWrap/>
            <w:hideMark/>
          </w:tcPr>
          <w:p w14:paraId="4DB27ACE" w14:textId="77777777" w:rsidR="00306862" w:rsidRPr="00306862" w:rsidRDefault="00306862" w:rsidP="00306862">
            <w:pPr>
              <w:jc w:val="center"/>
              <w:rPr>
                <w:rFonts w:cs="Arial"/>
                <w:color w:val="000000"/>
                <w:sz w:val="24"/>
                <w:szCs w:val="24"/>
              </w:rPr>
            </w:pPr>
            <w:r w:rsidRPr="00306862">
              <w:rPr>
                <w:rFonts w:cs="Arial"/>
                <w:color w:val="000000"/>
                <w:sz w:val="24"/>
                <w:szCs w:val="24"/>
              </w:rPr>
              <w:t>125</w:t>
            </w:r>
          </w:p>
        </w:tc>
        <w:tc>
          <w:tcPr>
            <w:tcW w:w="1378" w:type="dxa"/>
            <w:tcBorders>
              <w:top w:val="nil"/>
              <w:left w:val="nil"/>
              <w:bottom w:val="nil"/>
              <w:right w:val="nil"/>
            </w:tcBorders>
            <w:shd w:val="clear" w:color="auto" w:fill="auto"/>
            <w:noWrap/>
            <w:hideMark/>
          </w:tcPr>
          <w:p w14:paraId="531E1AB5"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c>
          <w:tcPr>
            <w:tcW w:w="1378" w:type="dxa"/>
            <w:gridSpan w:val="2"/>
            <w:tcBorders>
              <w:top w:val="nil"/>
              <w:left w:val="nil"/>
              <w:bottom w:val="nil"/>
              <w:right w:val="nil"/>
            </w:tcBorders>
            <w:shd w:val="clear" w:color="auto" w:fill="auto"/>
            <w:noWrap/>
            <w:hideMark/>
          </w:tcPr>
          <w:p w14:paraId="44F384D8"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r>
      <w:tr w:rsidR="00306862" w:rsidRPr="00306862" w14:paraId="3B4D09A5"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187CA460" w14:textId="77777777" w:rsidR="00306862" w:rsidRPr="00306862" w:rsidRDefault="00306862" w:rsidP="00306862">
            <w:pPr>
              <w:jc w:val="left"/>
              <w:rPr>
                <w:rFonts w:cs="Arial"/>
                <w:color w:val="000000"/>
                <w:sz w:val="24"/>
                <w:szCs w:val="24"/>
              </w:rPr>
            </w:pPr>
            <w:r w:rsidRPr="00306862">
              <w:rPr>
                <w:rFonts w:cs="Arial"/>
                <w:color w:val="000000"/>
                <w:sz w:val="24"/>
                <w:szCs w:val="24"/>
              </w:rPr>
              <w:t>Special Projects</w:t>
            </w:r>
          </w:p>
        </w:tc>
        <w:tc>
          <w:tcPr>
            <w:tcW w:w="1378" w:type="dxa"/>
            <w:tcBorders>
              <w:top w:val="nil"/>
              <w:left w:val="nil"/>
              <w:bottom w:val="nil"/>
              <w:right w:val="nil"/>
            </w:tcBorders>
            <w:shd w:val="clear" w:color="auto" w:fill="auto"/>
            <w:noWrap/>
            <w:hideMark/>
          </w:tcPr>
          <w:p w14:paraId="00BAA9E8" w14:textId="77777777" w:rsidR="00306862" w:rsidRPr="00306862" w:rsidRDefault="00306862" w:rsidP="00306862">
            <w:pPr>
              <w:jc w:val="center"/>
              <w:rPr>
                <w:rFonts w:cs="Arial"/>
                <w:color w:val="000000"/>
                <w:sz w:val="24"/>
                <w:szCs w:val="24"/>
              </w:rPr>
            </w:pPr>
            <w:r w:rsidRPr="00306862">
              <w:rPr>
                <w:rFonts w:cs="Arial"/>
                <w:color w:val="000000"/>
                <w:sz w:val="24"/>
                <w:szCs w:val="24"/>
              </w:rPr>
              <w:t>100</w:t>
            </w:r>
          </w:p>
        </w:tc>
        <w:tc>
          <w:tcPr>
            <w:tcW w:w="1378" w:type="dxa"/>
            <w:tcBorders>
              <w:top w:val="nil"/>
              <w:left w:val="nil"/>
              <w:bottom w:val="nil"/>
              <w:right w:val="nil"/>
            </w:tcBorders>
            <w:shd w:val="clear" w:color="auto" w:fill="auto"/>
            <w:noWrap/>
            <w:hideMark/>
          </w:tcPr>
          <w:p w14:paraId="1414D125" w14:textId="77777777" w:rsidR="00306862" w:rsidRPr="00306862" w:rsidRDefault="00306862" w:rsidP="00306862">
            <w:pPr>
              <w:jc w:val="center"/>
              <w:rPr>
                <w:rFonts w:cs="Arial"/>
                <w:color w:val="000000"/>
                <w:sz w:val="24"/>
                <w:szCs w:val="24"/>
              </w:rPr>
            </w:pPr>
            <w:r w:rsidRPr="00306862">
              <w:rPr>
                <w:rFonts w:cs="Arial"/>
                <w:color w:val="000000"/>
                <w:sz w:val="24"/>
                <w:szCs w:val="24"/>
              </w:rPr>
              <w:t>100</w:t>
            </w:r>
          </w:p>
        </w:tc>
        <w:tc>
          <w:tcPr>
            <w:tcW w:w="1378" w:type="dxa"/>
            <w:gridSpan w:val="2"/>
            <w:tcBorders>
              <w:top w:val="nil"/>
              <w:left w:val="nil"/>
              <w:bottom w:val="nil"/>
              <w:right w:val="nil"/>
            </w:tcBorders>
            <w:shd w:val="clear" w:color="auto" w:fill="auto"/>
            <w:noWrap/>
            <w:hideMark/>
          </w:tcPr>
          <w:p w14:paraId="7DA84431" w14:textId="77777777" w:rsidR="00306862" w:rsidRPr="00306862" w:rsidRDefault="00306862" w:rsidP="00306862">
            <w:pPr>
              <w:jc w:val="center"/>
              <w:rPr>
                <w:rFonts w:cs="Arial"/>
                <w:color w:val="000000"/>
                <w:sz w:val="24"/>
                <w:szCs w:val="24"/>
              </w:rPr>
            </w:pPr>
            <w:r w:rsidRPr="00306862">
              <w:rPr>
                <w:rFonts w:cs="Arial"/>
                <w:color w:val="000000"/>
                <w:sz w:val="24"/>
                <w:szCs w:val="24"/>
              </w:rPr>
              <w:t>100</w:t>
            </w:r>
          </w:p>
        </w:tc>
      </w:tr>
      <w:tr w:rsidR="00306862" w:rsidRPr="00306862" w14:paraId="5CE9FE10"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1577C826" w14:textId="77777777" w:rsidR="00306862" w:rsidRPr="00306862" w:rsidRDefault="00306862" w:rsidP="00306862">
            <w:pPr>
              <w:jc w:val="left"/>
              <w:rPr>
                <w:rFonts w:cs="Arial"/>
                <w:color w:val="000000"/>
                <w:sz w:val="24"/>
                <w:szCs w:val="24"/>
              </w:rPr>
            </w:pPr>
            <w:r w:rsidRPr="00306862">
              <w:rPr>
                <w:rFonts w:cs="Arial"/>
                <w:color w:val="000000"/>
                <w:sz w:val="24"/>
                <w:szCs w:val="24"/>
              </w:rPr>
              <w:t xml:space="preserve">Kitchen Replacements </w:t>
            </w:r>
          </w:p>
        </w:tc>
        <w:tc>
          <w:tcPr>
            <w:tcW w:w="1378" w:type="dxa"/>
            <w:tcBorders>
              <w:top w:val="nil"/>
              <w:left w:val="nil"/>
              <w:bottom w:val="nil"/>
              <w:right w:val="nil"/>
            </w:tcBorders>
            <w:shd w:val="clear" w:color="auto" w:fill="auto"/>
            <w:noWrap/>
            <w:hideMark/>
          </w:tcPr>
          <w:p w14:paraId="2F461F0A" w14:textId="77777777" w:rsidR="00306862" w:rsidRPr="00306862" w:rsidRDefault="00306862" w:rsidP="00306862">
            <w:pPr>
              <w:jc w:val="center"/>
              <w:rPr>
                <w:rFonts w:cs="Arial"/>
                <w:color w:val="000000"/>
                <w:sz w:val="24"/>
                <w:szCs w:val="24"/>
              </w:rPr>
            </w:pPr>
            <w:r w:rsidRPr="00306862">
              <w:rPr>
                <w:rFonts w:cs="Arial"/>
                <w:color w:val="000000"/>
                <w:sz w:val="24"/>
                <w:szCs w:val="24"/>
              </w:rPr>
              <w:t>297</w:t>
            </w:r>
          </w:p>
        </w:tc>
        <w:tc>
          <w:tcPr>
            <w:tcW w:w="1378" w:type="dxa"/>
            <w:tcBorders>
              <w:top w:val="nil"/>
              <w:left w:val="nil"/>
              <w:bottom w:val="nil"/>
              <w:right w:val="nil"/>
            </w:tcBorders>
            <w:shd w:val="clear" w:color="auto" w:fill="auto"/>
            <w:noWrap/>
            <w:hideMark/>
          </w:tcPr>
          <w:p w14:paraId="3021962E" w14:textId="77777777" w:rsidR="00306862" w:rsidRPr="00306862" w:rsidRDefault="00306862" w:rsidP="00306862">
            <w:pPr>
              <w:jc w:val="center"/>
              <w:rPr>
                <w:rFonts w:cs="Arial"/>
                <w:color w:val="000000"/>
                <w:sz w:val="24"/>
                <w:szCs w:val="24"/>
              </w:rPr>
            </w:pPr>
            <w:r w:rsidRPr="00306862">
              <w:rPr>
                <w:rFonts w:cs="Arial"/>
                <w:color w:val="000000"/>
                <w:sz w:val="24"/>
                <w:szCs w:val="24"/>
              </w:rPr>
              <w:t>250</w:t>
            </w:r>
          </w:p>
        </w:tc>
        <w:tc>
          <w:tcPr>
            <w:tcW w:w="1378" w:type="dxa"/>
            <w:gridSpan w:val="2"/>
            <w:tcBorders>
              <w:top w:val="nil"/>
              <w:left w:val="nil"/>
              <w:bottom w:val="nil"/>
              <w:right w:val="nil"/>
            </w:tcBorders>
            <w:shd w:val="clear" w:color="auto" w:fill="auto"/>
            <w:noWrap/>
            <w:hideMark/>
          </w:tcPr>
          <w:p w14:paraId="138B2A7F" w14:textId="77777777" w:rsidR="00306862" w:rsidRPr="00306862" w:rsidRDefault="00306862" w:rsidP="00306862">
            <w:pPr>
              <w:jc w:val="center"/>
              <w:rPr>
                <w:rFonts w:cs="Arial"/>
                <w:color w:val="000000"/>
                <w:sz w:val="24"/>
                <w:szCs w:val="24"/>
              </w:rPr>
            </w:pPr>
            <w:r w:rsidRPr="00306862">
              <w:rPr>
                <w:rFonts w:cs="Arial"/>
                <w:color w:val="000000"/>
                <w:sz w:val="24"/>
                <w:szCs w:val="24"/>
              </w:rPr>
              <w:t>250</w:t>
            </w:r>
          </w:p>
        </w:tc>
      </w:tr>
      <w:tr w:rsidR="00306862" w:rsidRPr="00306862" w14:paraId="28569CDE"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17C480EF" w14:textId="77777777" w:rsidR="00306862" w:rsidRPr="00306862" w:rsidRDefault="00306862" w:rsidP="00306862">
            <w:pPr>
              <w:jc w:val="left"/>
              <w:rPr>
                <w:rFonts w:cs="Arial"/>
                <w:color w:val="000000"/>
                <w:sz w:val="24"/>
                <w:szCs w:val="24"/>
              </w:rPr>
            </w:pPr>
            <w:r w:rsidRPr="00306862">
              <w:rPr>
                <w:rFonts w:cs="Arial"/>
                <w:color w:val="000000"/>
                <w:sz w:val="24"/>
                <w:szCs w:val="24"/>
              </w:rPr>
              <w:t xml:space="preserve">Bathroom Replacements </w:t>
            </w:r>
          </w:p>
        </w:tc>
        <w:tc>
          <w:tcPr>
            <w:tcW w:w="1378" w:type="dxa"/>
            <w:tcBorders>
              <w:top w:val="nil"/>
              <w:left w:val="nil"/>
              <w:bottom w:val="nil"/>
              <w:right w:val="nil"/>
            </w:tcBorders>
            <w:shd w:val="clear" w:color="auto" w:fill="auto"/>
            <w:noWrap/>
            <w:hideMark/>
          </w:tcPr>
          <w:p w14:paraId="6893117C" w14:textId="77777777" w:rsidR="00306862" w:rsidRPr="00306862" w:rsidRDefault="00306862" w:rsidP="00306862">
            <w:pPr>
              <w:jc w:val="center"/>
              <w:rPr>
                <w:rFonts w:cs="Arial"/>
                <w:color w:val="000000"/>
                <w:sz w:val="24"/>
                <w:szCs w:val="24"/>
              </w:rPr>
            </w:pPr>
            <w:r w:rsidRPr="00306862">
              <w:rPr>
                <w:rFonts w:cs="Arial"/>
                <w:color w:val="000000"/>
                <w:sz w:val="24"/>
                <w:szCs w:val="24"/>
              </w:rPr>
              <w:t>222</w:t>
            </w:r>
          </w:p>
        </w:tc>
        <w:tc>
          <w:tcPr>
            <w:tcW w:w="1378" w:type="dxa"/>
            <w:tcBorders>
              <w:top w:val="nil"/>
              <w:left w:val="nil"/>
              <w:bottom w:val="nil"/>
              <w:right w:val="nil"/>
            </w:tcBorders>
            <w:shd w:val="clear" w:color="auto" w:fill="auto"/>
            <w:noWrap/>
            <w:hideMark/>
          </w:tcPr>
          <w:p w14:paraId="6D12B8E1" w14:textId="77777777" w:rsidR="00306862" w:rsidRPr="00306862" w:rsidRDefault="00306862" w:rsidP="00306862">
            <w:pPr>
              <w:jc w:val="center"/>
              <w:rPr>
                <w:rFonts w:cs="Arial"/>
                <w:color w:val="000000"/>
                <w:sz w:val="24"/>
                <w:szCs w:val="24"/>
              </w:rPr>
            </w:pPr>
            <w:r w:rsidRPr="00306862">
              <w:rPr>
                <w:rFonts w:cs="Arial"/>
                <w:color w:val="000000"/>
                <w:sz w:val="24"/>
                <w:szCs w:val="24"/>
              </w:rPr>
              <w:t>200</w:t>
            </w:r>
          </w:p>
        </w:tc>
        <w:tc>
          <w:tcPr>
            <w:tcW w:w="1378" w:type="dxa"/>
            <w:gridSpan w:val="2"/>
            <w:tcBorders>
              <w:top w:val="nil"/>
              <w:left w:val="nil"/>
              <w:bottom w:val="nil"/>
              <w:right w:val="nil"/>
            </w:tcBorders>
            <w:shd w:val="clear" w:color="auto" w:fill="auto"/>
            <w:noWrap/>
            <w:hideMark/>
          </w:tcPr>
          <w:p w14:paraId="024B9317" w14:textId="77777777" w:rsidR="00306862" w:rsidRPr="00306862" w:rsidRDefault="00306862" w:rsidP="00306862">
            <w:pPr>
              <w:jc w:val="center"/>
              <w:rPr>
                <w:rFonts w:cs="Arial"/>
                <w:color w:val="000000"/>
                <w:sz w:val="24"/>
                <w:szCs w:val="24"/>
              </w:rPr>
            </w:pPr>
            <w:r w:rsidRPr="00306862">
              <w:rPr>
                <w:rFonts w:cs="Arial"/>
                <w:color w:val="000000"/>
                <w:sz w:val="24"/>
                <w:szCs w:val="24"/>
              </w:rPr>
              <w:t>200</w:t>
            </w:r>
          </w:p>
        </w:tc>
      </w:tr>
      <w:tr w:rsidR="00306862" w:rsidRPr="00306862" w14:paraId="0CAEDE6D"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1DCCBD61" w14:textId="77777777" w:rsidR="00306862" w:rsidRPr="00306862" w:rsidRDefault="00306862" w:rsidP="00306862">
            <w:pPr>
              <w:jc w:val="left"/>
              <w:rPr>
                <w:rFonts w:cs="Arial"/>
                <w:color w:val="000000"/>
                <w:sz w:val="24"/>
                <w:szCs w:val="24"/>
              </w:rPr>
            </w:pPr>
            <w:r w:rsidRPr="00306862">
              <w:rPr>
                <w:rFonts w:cs="Arial"/>
                <w:color w:val="000000"/>
                <w:sz w:val="24"/>
                <w:szCs w:val="24"/>
              </w:rPr>
              <w:t>Fire Risk Assessments</w:t>
            </w:r>
          </w:p>
        </w:tc>
        <w:tc>
          <w:tcPr>
            <w:tcW w:w="1378" w:type="dxa"/>
            <w:tcBorders>
              <w:top w:val="nil"/>
              <w:left w:val="nil"/>
              <w:bottom w:val="nil"/>
              <w:right w:val="nil"/>
            </w:tcBorders>
            <w:shd w:val="clear" w:color="auto" w:fill="auto"/>
            <w:noWrap/>
            <w:hideMark/>
          </w:tcPr>
          <w:p w14:paraId="5289FCB7" w14:textId="77777777" w:rsidR="00306862" w:rsidRPr="00306862" w:rsidRDefault="00306862" w:rsidP="00306862">
            <w:pPr>
              <w:jc w:val="center"/>
              <w:rPr>
                <w:rFonts w:cs="Arial"/>
                <w:color w:val="000000"/>
                <w:sz w:val="24"/>
                <w:szCs w:val="24"/>
              </w:rPr>
            </w:pPr>
            <w:r w:rsidRPr="00306862">
              <w:rPr>
                <w:rFonts w:cs="Arial"/>
                <w:color w:val="000000"/>
                <w:sz w:val="24"/>
                <w:szCs w:val="24"/>
              </w:rPr>
              <w:t>3,463</w:t>
            </w:r>
          </w:p>
        </w:tc>
        <w:tc>
          <w:tcPr>
            <w:tcW w:w="1378" w:type="dxa"/>
            <w:tcBorders>
              <w:top w:val="nil"/>
              <w:left w:val="nil"/>
              <w:bottom w:val="nil"/>
              <w:right w:val="nil"/>
            </w:tcBorders>
            <w:shd w:val="clear" w:color="auto" w:fill="auto"/>
            <w:noWrap/>
            <w:hideMark/>
          </w:tcPr>
          <w:p w14:paraId="12B0E774" w14:textId="77777777" w:rsidR="00306862" w:rsidRPr="00306862" w:rsidRDefault="00306862" w:rsidP="00306862">
            <w:pPr>
              <w:jc w:val="center"/>
              <w:rPr>
                <w:rFonts w:cs="Arial"/>
                <w:color w:val="000000"/>
                <w:sz w:val="24"/>
                <w:szCs w:val="24"/>
              </w:rPr>
            </w:pPr>
            <w:r w:rsidRPr="00306862">
              <w:rPr>
                <w:rFonts w:cs="Arial"/>
                <w:color w:val="000000"/>
                <w:sz w:val="24"/>
                <w:szCs w:val="24"/>
              </w:rPr>
              <w:t>2,000</w:t>
            </w:r>
          </w:p>
        </w:tc>
        <w:tc>
          <w:tcPr>
            <w:tcW w:w="1378" w:type="dxa"/>
            <w:gridSpan w:val="2"/>
            <w:tcBorders>
              <w:top w:val="nil"/>
              <w:left w:val="nil"/>
              <w:bottom w:val="nil"/>
              <w:right w:val="nil"/>
            </w:tcBorders>
            <w:shd w:val="clear" w:color="auto" w:fill="auto"/>
            <w:noWrap/>
            <w:hideMark/>
          </w:tcPr>
          <w:p w14:paraId="27AC00FE" w14:textId="77777777" w:rsidR="00306862" w:rsidRPr="00306862" w:rsidRDefault="00306862" w:rsidP="00306862">
            <w:pPr>
              <w:jc w:val="center"/>
              <w:rPr>
                <w:rFonts w:cs="Arial"/>
                <w:color w:val="000000"/>
                <w:sz w:val="24"/>
                <w:szCs w:val="24"/>
              </w:rPr>
            </w:pPr>
            <w:r w:rsidRPr="00306862">
              <w:rPr>
                <w:rFonts w:cs="Arial"/>
                <w:color w:val="000000"/>
                <w:sz w:val="24"/>
                <w:szCs w:val="24"/>
              </w:rPr>
              <w:t>2,000</w:t>
            </w:r>
          </w:p>
        </w:tc>
      </w:tr>
      <w:tr w:rsidR="00306862" w:rsidRPr="00306862" w14:paraId="6D9D3872"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2B97C062" w14:textId="77777777" w:rsidR="00306862" w:rsidRPr="00306862" w:rsidRDefault="00306862" w:rsidP="00306862">
            <w:pPr>
              <w:jc w:val="left"/>
              <w:rPr>
                <w:rFonts w:cs="Arial"/>
                <w:color w:val="000000"/>
                <w:sz w:val="24"/>
                <w:szCs w:val="24"/>
              </w:rPr>
            </w:pPr>
            <w:r w:rsidRPr="00306862">
              <w:rPr>
                <w:rFonts w:cs="Arial"/>
                <w:color w:val="000000"/>
                <w:sz w:val="24"/>
                <w:szCs w:val="24"/>
              </w:rPr>
              <w:t>Asbestos Surveys Contract</w:t>
            </w:r>
          </w:p>
        </w:tc>
        <w:tc>
          <w:tcPr>
            <w:tcW w:w="1378" w:type="dxa"/>
            <w:tcBorders>
              <w:top w:val="nil"/>
              <w:left w:val="nil"/>
              <w:bottom w:val="nil"/>
              <w:right w:val="nil"/>
            </w:tcBorders>
            <w:shd w:val="clear" w:color="auto" w:fill="auto"/>
            <w:noWrap/>
            <w:hideMark/>
          </w:tcPr>
          <w:p w14:paraId="77BC3FB2" w14:textId="77777777" w:rsidR="00306862" w:rsidRPr="00306862" w:rsidRDefault="00306862" w:rsidP="00306862">
            <w:pPr>
              <w:jc w:val="center"/>
              <w:rPr>
                <w:rFonts w:cs="Arial"/>
                <w:color w:val="000000"/>
                <w:sz w:val="24"/>
                <w:szCs w:val="24"/>
              </w:rPr>
            </w:pPr>
            <w:r w:rsidRPr="00306862">
              <w:rPr>
                <w:rFonts w:cs="Arial"/>
                <w:color w:val="000000"/>
                <w:sz w:val="24"/>
                <w:szCs w:val="24"/>
              </w:rPr>
              <w:t>262</w:t>
            </w:r>
          </w:p>
        </w:tc>
        <w:tc>
          <w:tcPr>
            <w:tcW w:w="1378" w:type="dxa"/>
            <w:tcBorders>
              <w:top w:val="nil"/>
              <w:left w:val="nil"/>
              <w:bottom w:val="nil"/>
              <w:right w:val="nil"/>
            </w:tcBorders>
            <w:shd w:val="clear" w:color="auto" w:fill="auto"/>
            <w:noWrap/>
            <w:hideMark/>
          </w:tcPr>
          <w:p w14:paraId="0BE4968A" w14:textId="77777777" w:rsidR="00306862" w:rsidRPr="00306862" w:rsidRDefault="00306862" w:rsidP="00306862">
            <w:pPr>
              <w:jc w:val="center"/>
              <w:rPr>
                <w:rFonts w:cs="Arial"/>
                <w:color w:val="000000"/>
                <w:sz w:val="24"/>
                <w:szCs w:val="24"/>
              </w:rPr>
            </w:pPr>
            <w:r w:rsidRPr="00306862">
              <w:rPr>
                <w:rFonts w:cs="Arial"/>
                <w:color w:val="000000"/>
                <w:sz w:val="24"/>
                <w:szCs w:val="24"/>
              </w:rPr>
              <w:t>50</w:t>
            </w:r>
          </w:p>
        </w:tc>
        <w:tc>
          <w:tcPr>
            <w:tcW w:w="1378" w:type="dxa"/>
            <w:gridSpan w:val="2"/>
            <w:tcBorders>
              <w:top w:val="nil"/>
              <w:left w:val="nil"/>
              <w:bottom w:val="nil"/>
              <w:right w:val="nil"/>
            </w:tcBorders>
            <w:shd w:val="clear" w:color="auto" w:fill="auto"/>
            <w:noWrap/>
            <w:hideMark/>
          </w:tcPr>
          <w:p w14:paraId="5B6FDDCF" w14:textId="77777777" w:rsidR="00306862" w:rsidRPr="00306862" w:rsidRDefault="00306862" w:rsidP="00306862">
            <w:pPr>
              <w:jc w:val="center"/>
              <w:rPr>
                <w:rFonts w:cs="Arial"/>
                <w:color w:val="000000"/>
                <w:sz w:val="24"/>
                <w:szCs w:val="24"/>
              </w:rPr>
            </w:pPr>
            <w:r w:rsidRPr="00306862">
              <w:rPr>
                <w:rFonts w:cs="Arial"/>
                <w:color w:val="000000"/>
                <w:sz w:val="24"/>
                <w:szCs w:val="24"/>
              </w:rPr>
              <w:t>50</w:t>
            </w:r>
          </w:p>
        </w:tc>
      </w:tr>
      <w:tr w:rsidR="00306862" w:rsidRPr="00306862" w14:paraId="74D4EAF9"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438B5CFB" w14:textId="77777777" w:rsidR="00306862" w:rsidRPr="00306862" w:rsidRDefault="00306862" w:rsidP="00306862">
            <w:pPr>
              <w:jc w:val="left"/>
              <w:rPr>
                <w:rFonts w:cs="Arial"/>
                <w:color w:val="000000"/>
                <w:sz w:val="24"/>
                <w:szCs w:val="24"/>
              </w:rPr>
            </w:pPr>
            <w:proofErr w:type="spellStart"/>
            <w:r w:rsidRPr="00306862">
              <w:rPr>
                <w:rFonts w:cs="Arial"/>
                <w:color w:val="000000"/>
                <w:sz w:val="24"/>
                <w:szCs w:val="24"/>
              </w:rPr>
              <w:t>Electricial</w:t>
            </w:r>
            <w:proofErr w:type="spellEnd"/>
            <w:r w:rsidRPr="00306862">
              <w:rPr>
                <w:rFonts w:cs="Arial"/>
                <w:color w:val="000000"/>
                <w:sz w:val="24"/>
                <w:szCs w:val="24"/>
              </w:rPr>
              <w:t xml:space="preserve"> Upgrades</w:t>
            </w:r>
          </w:p>
        </w:tc>
        <w:tc>
          <w:tcPr>
            <w:tcW w:w="1378" w:type="dxa"/>
            <w:tcBorders>
              <w:top w:val="nil"/>
              <w:left w:val="nil"/>
              <w:bottom w:val="nil"/>
              <w:right w:val="nil"/>
            </w:tcBorders>
            <w:shd w:val="clear" w:color="auto" w:fill="auto"/>
            <w:noWrap/>
            <w:hideMark/>
          </w:tcPr>
          <w:p w14:paraId="547AF4DB" w14:textId="77777777" w:rsidR="00306862" w:rsidRPr="00306862" w:rsidRDefault="00306862" w:rsidP="00306862">
            <w:pPr>
              <w:jc w:val="center"/>
              <w:rPr>
                <w:rFonts w:cs="Arial"/>
                <w:color w:val="000000"/>
                <w:sz w:val="24"/>
                <w:szCs w:val="24"/>
              </w:rPr>
            </w:pPr>
            <w:r w:rsidRPr="00306862">
              <w:rPr>
                <w:rFonts w:cs="Arial"/>
                <w:color w:val="000000"/>
                <w:sz w:val="24"/>
                <w:szCs w:val="24"/>
              </w:rPr>
              <w:t>693</w:t>
            </w:r>
          </w:p>
        </w:tc>
        <w:tc>
          <w:tcPr>
            <w:tcW w:w="1378" w:type="dxa"/>
            <w:tcBorders>
              <w:top w:val="nil"/>
              <w:left w:val="nil"/>
              <w:bottom w:val="nil"/>
              <w:right w:val="nil"/>
            </w:tcBorders>
            <w:shd w:val="clear" w:color="auto" w:fill="auto"/>
            <w:noWrap/>
            <w:hideMark/>
          </w:tcPr>
          <w:p w14:paraId="0C105013" w14:textId="77777777" w:rsidR="00306862" w:rsidRPr="00306862" w:rsidRDefault="00306862" w:rsidP="00306862">
            <w:pPr>
              <w:jc w:val="center"/>
              <w:rPr>
                <w:rFonts w:cs="Arial"/>
                <w:color w:val="000000"/>
                <w:sz w:val="24"/>
                <w:szCs w:val="24"/>
              </w:rPr>
            </w:pPr>
            <w:r w:rsidRPr="00306862">
              <w:rPr>
                <w:rFonts w:cs="Arial"/>
                <w:color w:val="000000"/>
                <w:sz w:val="24"/>
                <w:szCs w:val="24"/>
              </w:rPr>
              <w:t>450</w:t>
            </w:r>
          </w:p>
        </w:tc>
        <w:tc>
          <w:tcPr>
            <w:tcW w:w="1378" w:type="dxa"/>
            <w:gridSpan w:val="2"/>
            <w:tcBorders>
              <w:top w:val="nil"/>
              <w:left w:val="nil"/>
              <w:bottom w:val="nil"/>
              <w:right w:val="nil"/>
            </w:tcBorders>
            <w:shd w:val="clear" w:color="auto" w:fill="auto"/>
            <w:noWrap/>
            <w:hideMark/>
          </w:tcPr>
          <w:p w14:paraId="68DCAC8F" w14:textId="77777777" w:rsidR="00306862" w:rsidRPr="00306862" w:rsidRDefault="00306862" w:rsidP="00306862">
            <w:pPr>
              <w:jc w:val="center"/>
              <w:rPr>
                <w:rFonts w:cs="Arial"/>
                <w:color w:val="000000"/>
                <w:sz w:val="24"/>
                <w:szCs w:val="24"/>
              </w:rPr>
            </w:pPr>
            <w:r w:rsidRPr="00306862">
              <w:rPr>
                <w:rFonts w:cs="Arial"/>
                <w:color w:val="000000"/>
                <w:sz w:val="24"/>
                <w:szCs w:val="24"/>
              </w:rPr>
              <w:t>450</w:t>
            </w:r>
          </w:p>
        </w:tc>
      </w:tr>
      <w:tr w:rsidR="00306862" w:rsidRPr="00306862" w14:paraId="0FA08F5D"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27474A6B" w14:textId="77777777" w:rsidR="00306862" w:rsidRPr="00306862" w:rsidRDefault="00306862" w:rsidP="00306862">
            <w:pPr>
              <w:jc w:val="left"/>
              <w:rPr>
                <w:rFonts w:cs="Arial"/>
                <w:color w:val="000000"/>
                <w:sz w:val="24"/>
                <w:szCs w:val="24"/>
              </w:rPr>
            </w:pPr>
            <w:r w:rsidRPr="00306862">
              <w:rPr>
                <w:rFonts w:cs="Arial"/>
                <w:color w:val="000000"/>
                <w:sz w:val="24"/>
                <w:szCs w:val="24"/>
              </w:rPr>
              <w:t>Energy Efficiency</w:t>
            </w:r>
          </w:p>
        </w:tc>
        <w:tc>
          <w:tcPr>
            <w:tcW w:w="1378" w:type="dxa"/>
            <w:tcBorders>
              <w:top w:val="nil"/>
              <w:left w:val="nil"/>
              <w:bottom w:val="nil"/>
              <w:right w:val="nil"/>
            </w:tcBorders>
            <w:shd w:val="clear" w:color="auto" w:fill="auto"/>
            <w:noWrap/>
            <w:hideMark/>
          </w:tcPr>
          <w:p w14:paraId="74FEBD5D" w14:textId="77777777" w:rsidR="00306862" w:rsidRPr="00306862" w:rsidRDefault="00306862" w:rsidP="00306862">
            <w:pPr>
              <w:jc w:val="center"/>
              <w:rPr>
                <w:rFonts w:cs="Arial"/>
                <w:color w:val="000000"/>
                <w:sz w:val="24"/>
                <w:szCs w:val="24"/>
              </w:rPr>
            </w:pPr>
            <w:r w:rsidRPr="00306862">
              <w:rPr>
                <w:rFonts w:cs="Arial"/>
                <w:color w:val="000000"/>
                <w:sz w:val="24"/>
                <w:szCs w:val="24"/>
              </w:rPr>
              <w:t>350</w:t>
            </w:r>
          </w:p>
        </w:tc>
        <w:tc>
          <w:tcPr>
            <w:tcW w:w="1378" w:type="dxa"/>
            <w:tcBorders>
              <w:top w:val="nil"/>
              <w:left w:val="nil"/>
              <w:bottom w:val="nil"/>
              <w:right w:val="nil"/>
            </w:tcBorders>
            <w:shd w:val="clear" w:color="auto" w:fill="auto"/>
            <w:noWrap/>
            <w:hideMark/>
          </w:tcPr>
          <w:p w14:paraId="6BB39876" w14:textId="77777777" w:rsidR="00306862" w:rsidRPr="00306862" w:rsidRDefault="00306862" w:rsidP="00306862">
            <w:pPr>
              <w:jc w:val="center"/>
              <w:rPr>
                <w:rFonts w:cs="Arial"/>
                <w:color w:val="000000"/>
                <w:sz w:val="24"/>
                <w:szCs w:val="24"/>
              </w:rPr>
            </w:pPr>
            <w:r w:rsidRPr="00306862">
              <w:rPr>
                <w:rFonts w:cs="Arial"/>
                <w:color w:val="000000"/>
                <w:sz w:val="24"/>
                <w:szCs w:val="24"/>
              </w:rPr>
              <w:t>200</w:t>
            </w:r>
          </w:p>
        </w:tc>
        <w:tc>
          <w:tcPr>
            <w:tcW w:w="1378" w:type="dxa"/>
            <w:gridSpan w:val="2"/>
            <w:tcBorders>
              <w:top w:val="nil"/>
              <w:left w:val="nil"/>
              <w:bottom w:val="nil"/>
              <w:right w:val="nil"/>
            </w:tcBorders>
            <w:shd w:val="clear" w:color="auto" w:fill="auto"/>
            <w:noWrap/>
            <w:hideMark/>
          </w:tcPr>
          <w:p w14:paraId="63ECD47C" w14:textId="77777777" w:rsidR="00306862" w:rsidRPr="00306862" w:rsidRDefault="00306862" w:rsidP="00306862">
            <w:pPr>
              <w:jc w:val="center"/>
              <w:rPr>
                <w:rFonts w:cs="Arial"/>
                <w:color w:val="000000"/>
                <w:sz w:val="24"/>
                <w:szCs w:val="24"/>
              </w:rPr>
            </w:pPr>
            <w:r w:rsidRPr="00306862">
              <w:rPr>
                <w:rFonts w:cs="Arial"/>
                <w:color w:val="000000"/>
                <w:sz w:val="24"/>
                <w:szCs w:val="24"/>
              </w:rPr>
              <w:t>200</w:t>
            </w:r>
          </w:p>
        </w:tc>
      </w:tr>
      <w:tr w:rsidR="00306862" w:rsidRPr="00306862" w14:paraId="5A5A559A"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1DA88EFF" w14:textId="77777777" w:rsidR="00306862" w:rsidRPr="00306862" w:rsidRDefault="00306862" w:rsidP="00306862">
            <w:pPr>
              <w:jc w:val="left"/>
              <w:rPr>
                <w:rFonts w:cs="Arial"/>
                <w:color w:val="000000"/>
                <w:sz w:val="24"/>
                <w:szCs w:val="24"/>
              </w:rPr>
            </w:pPr>
            <w:r w:rsidRPr="00306862">
              <w:rPr>
                <w:rFonts w:cs="Arial"/>
                <w:color w:val="000000"/>
                <w:sz w:val="24"/>
                <w:szCs w:val="24"/>
              </w:rPr>
              <w:t xml:space="preserve">Roof Replacement </w:t>
            </w:r>
          </w:p>
        </w:tc>
        <w:tc>
          <w:tcPr>
            <w:tcW w:w="1378" w:type="dxa"/>
            <w:tcBorders>
              <w:top w:val="nil"/>
              <w:left w:val="nil"/>
              <w:bottom w:val="nil"/>
              <w:right w:val="nil"/>
            </w:tcBorders>
            <w:shd w:val="clear" w:color="auto" w:fill="auto"/>
            <w:noWrap/>
            <w:hideMark/>
          </w:tcPr>
          <w:p w14:paraId="6682868E" w14:textId="77777777" w:rsidR="00306862" w:rsidRPr="00306862" w:rsidRDefault="00306862" w:rsidP="00306862">
            <w:pPr>
              <w:jc w:val="center"/>
              <w:rPr>
                <w:rFonts w:cs="Arial"/>
                <w:color w:val="000000"/>
                <w:sz w:val="24"/>
                <w:szCs w:val="24"/>
              </w:rPr>
            </w:pPr>
            <w:r w:rsidRPr="00306862">
              <w:rPr>
                <w:rFonts w:cs="Arial"/>
                <w:color w:val="000000"/>
                <w:sz w:val="24"/>
                <w:szCs w:val="24"/>
              </w:rPr>
              <w:t>400</w:t>
            </w:r>
          </w:p>
        </w:tc>
        <w:tc>
          <w:tcPr>
            <w:tcW w:w="1378" w:type="dxa"/>
            <w:tcBorders>
              <w:top w:val="nil"/>
              <w:left w:val="nil"/>
              <w:bottom w:val="nil"/>
              <w:right w:val="nil"/>
            </w:tcBorders>
            <w:shd w:val="clear" w:color="auto" w:fill="auto"/>
            <w:noWrap/>
            <w:hideMark/>
          </w:tcPr>
          <w:p w14:paraId="3870DF16" w14:textId="77777777" w:rsidR="00306862" w:rsidRPr="00306862" w:rsidRDefault="00306862" w:rsidP="00306862">
            <w:pPr>
              <w:jc w:val="center"/>
              <w:rPr>
                <w:rFonts w:cs="Arial"/>
                <w:color w:val="000000"/>
                <w:sz w:val="24"/>
                <w:szCs w:val="24"/>
              </w:rPr>
            </w:pPr>
            <w:r w:rsidRPr="00306862">
              <w:rPr>
                <w:rFonts w:cs="Arial"/>
                <w:color w:val="000000"/>
                <w:sz w:val="24"/>
                <w:szCs w:val="24"/>
              </w:rPr>
              <w:t>400</w:t>
            </w:r>
          </w:p>
        </w:tc>
        <w:tc>
          <w:tcPr>
            <w:tcW w:w="1378" w:type="dxa"/>
            <w:gridSpan w:val="2"/>
            <w:tcBorders>
              <w:top w:val="nil"/>
              <w:left w:val="nil"/>
              <w:bottom w:val="nil"/>
              <w:right w:val="nil"/>
            </w:tcBorders>
            <w:shd w:val="clear" w:color="auto" w:fill="auto"/>
            <w:noWrap/>
            <w:hideMark/>
          </w:tcPr>
          <w:p w14:paraId="5D2B1F3D" w14:textId="77777777" w:rsidR="00306862" w:rsidRPr="00306862" w:rsidRDefault="00306862" w:rsidP="00306862">
            <w:pPr>
              <w:jc w:val="center"/>
              <w:rPr>
                <w:rFonts w:cs="Arial"/>
                <w:color w:val="000000"/>
                <w:sz w:val="24"/>
                <w:szCs w:val="24"/>
              </w:rPr>
            </w:pPr>
            <w:r w:rsidRPr="00306862">
              <w:rPr>
                <w:rFonts w:cs="Arial"/>
                <w:color w:val="000000"/>
                <w:sz w:val="24"/>
                <w:szCs w:val="24"/>
              </w:rPr>
              <w:t>400</w:t>
            </w:r>
          </w:p>
        </w:tc>
      </w:tr>
      <w:tr w:rsidR="00306862" w:rsidRPr="00306862" w14:paraId="3E800147"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5692EB1B" w14:textId="77777777" w:rsidR="00306862" w:rsidRPr="00306862" w:rsidRDefault="00306862" w:rsidP="00306862">
            <w:pPr>
              <w:jc w:val="left"/>
              <w:rPr>
                <w:rFonts w:cs="Arial"/>
                <w:color w:val="000000"/>
                <w:sz w:val="24"/>
                <w:szCs w:val="24"/>
              </w:rPr>
            </w:pPr>
            <w:r w:rsidRPr="00306862">
              <w:rPr>
                <w:rFonts w:cs="Arial"/>
                <w:color w:val="000000"/>
                <w:sz w:val="24"/>
                <w:szCs w:val="24"/>
              </w:rPr>
              <w:t>Housing Management System</w:t>
            </w:r>
          </w:p>
        </w:tc>
        <w:tc>
          <w:tcPr>
            <w:tcW w:w="1378" w:type="dxa"/>
            <w:tcBorders>
              <w:top w:val="nil"/>
              <w:left w:val="nil"/>
              <w:bottom w:val="nil"/>
              <w:right w:val="nil"/>
            </w:tcBorders>
            <w:shd w:val="clear" w:color="auto" w:fill="auto"/>
            <w:noWrap/>
            <w:hideMark/>
          </w:tcPr>
          <w:p w14:paraId="5D5255CE" w14:textId="77777777" w:rsidR="00306862" w:rsidRPr="00306862" w:rsidRDefault="00306862" w:rsidP="00306862">
            <w:pPr>
              <w:jc w:val="center"/>
              <w:rPr>
                <w:rFonts w:cs="Arial"/>
                <w:color w:val="000000"/>
                <w:sz w:val="24"/>
                <w:szCs w:val="24"/>
              </w:rPr>
            </w:pPr>
            <w:r w:rsidRPr="00306862">
              <w:rPr>
                <w:rFonts w:cs="Arial"/>
                <w:color w:val="000000"/>
                <w:sz w:val="24"/>
                <w:szCs w:val="24"/>
              </w:rPr>
              <w:t>40</w:t>
            </w:r>
          </w:p>
        </w:tc>
        <w:tc>
          <w:tcPr>
            <w:tcW w:w="1378" w:type="dxa"/>
            <w:tcBorders>
              <w:top w:val="nil"/>
              <w:left w:val="nil"/>
              <w:bottom w:val="nil"/>
              <w:right w:val="nil"/>
            </w:tcBorders>
            <w:shd w:val="clear" w:color="auto" w:fill="auto"/>
            <w:noWrap/>
            <w:hideMark/>
          </w:tcPr>
          <w:p w14:paraId="3AB2A85D"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c>
          <w:tcPr>
            <w:tcW w:w="1378" w:type="dxa"/>
            <w:gridSpan w:val="2"/>
            <w:tcBorders>
              <w:top w:val="nil"/>
              <w:left w:val="nil"/>
              <w:bottom w:val="nil"/>
              <w:right w:val="nil"/>
            </w:tcBorders>
            <w:shd w:val="clear" w:color="auto" w:fill="auto"/>
            <w:noWrap/>
            <w:hideMark/>
          </w:tcPr>
          <w:p w14:paraId="72F1BA2B"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r>
      <w:tr w:rsidR="00306862" w:rsidRPr="00306862" w14:paraId="522467E5"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4FBDCBCC" w14:textId="77777777" w:rsidR="00306862" w:rsidRPr="00306862" w:rsidRDefault="00306862" w:rsidP="00306862">
            <w:pPr>
              <w:jc w:val="left"/>
              <w:rPr>
                <w:rFonts w:cs="Arial"/>
                <w:color w:val="000000"/>
                <w:sz w:val="24"/>
                <w:szCs w:val="24"/>
              </w:rPr>
            </w:pPr>
            <w:r w:rsidRPr="00306862">
              <w:rPr>
                <w:rFonts w:cs="Arial"/>
                <w:color w:val="000000"/>
                <w:sz w:val="24"/>
                <w:szCs w:val="24"/>
              </w:rPr>
              <w:t>Unallocated HRA Capital</w:t>
            </w:r>
          </w:p>
        </w:tc>
        <w:tc>
          <w:tcPr>
            <w:tcW w:w="1378" w:type="dxa"/>
            <w:tcBorders>
              <w:top w:val="nil"/>
              <w:left w:val="nil"/>
              <w:bottom w:val="single" w:sz="4" w:space="0" w:color="auto"/>
              <w:right w:val="nil"/>
            </w:tcBorders>
            <w:shd w:val="clear" w:color="auto" w:fill="auto"/>
            <w:noWrap/>
            <w:hideMark/>
          </w:tcPr>
          <w:p w14:paraId="3F402421" w14:textId="77777777" w:rsidR="00306862" w:rsidRPr="00306862" w:rsidRDefault="00306862" w:rsidP="00306862">
            <w:pPr>
              <w:jc w:val="center"/>
              <w:rPr>
                <w:rFonts w:cs="Arial"/>
                <w:color w:val="000000"/>
                <w:sz w:val="24"/>
                <w:szCs w:val="24"/>
              </w:rPr>
            </w:pPr>
            <w:r w:rsidRPr="00306862">
              <w:rPr>
                <w:rFonts w:cs="Arial"/>
                <w:color w:val="000000"/>
                <w:sz w:val="24"/>
                <w:szCs w:val="24"/>
              </w:rPr>
              <w:t>50</w:t>
            </w:r>
          </w:p>
        </w:tc>
        <w:tc>
          <w:tcPr>
            <w:tcW w:w="1378" w:type="dxa"/>
            <w:tcBorders>
              <w:top w:val="nil"/>
              <w:left w:val="nil"/>
              <w:bottom w:val="single" w:sz="4" w:space="0" w:color="auto"/>
              <w:right w:val="nil"/>
            </w:tcBorders>
            <w:shd w:val="clear" w:color="auto" w:fill="auto"/>
            <w:noWrap/>
            <w:hideMark/>
          </w:tcPr>
          <w:p w14:paraId="1AB6E9B8" w14:textId="77777777" w:rsidR="00306862" w:rsidRPr="00306862" w:rsidRDefault="00306862" w:rsidP="00306862">
            <w:pPr>
              <w:jc w:val="center"/>
              <w:rPr>
                <w:rFonts w:cs="Arial"/>
                <w:color w:val="000000"/>
                <w:sz w:val="24"/>
                <w:szCs w:val="24"/>
              </w:rPr>
            </w:pPr>
            <w:r w:rsidRPr="00306862">
              <w:rPr>
                <w:rFonts w:cs="Arial"/>
                <w:color w:val="000000"/>
                <w:sz w:val="24"/>
                <w:szCs w:val="24"/>
              </w:rPr>
              <w:t>50</w:t>
            </w:r>
          </w:p>
        </w:tc>
        <w:tc>
          <w:tcPr>
            <w:tcW w:w="1378" w:type="dxa"/>
            <w:gridSpan w:val="2"/>
            <w:tcBorders>
              <w:top w:val="nil"/>
              <w:left w:val="nil"/>
              <w:bottom w:val="single" w:sz="4" w:space="0" w:color="auto"/>
              <w:right w:val="nil"/>
            </w:tcBorders>
            <w:shd w:val="clear" w:color="auto" w:fill="auto"/>
            <w:noWrap/>
            <w:hideMark/>
          </w:tcPr>
          <w:p w14:paraId="7631089D" w14:textId="77777777" w:rsidR="00306862" w:rsidRPr="00306862" w:rsidRDefault="00306862" w:rsidP="00306862">
            <w:pPr>
              <w:jc w:val="center"/>
              <w:rPr>
                <w:rFonts w:cs="Arial"/>
                <w:color w:val="000000"/>
                <w:sz w:val="24"/>
                <w:szCs w:val="24"/>
              </w:rPr>
            </w:pPr>
            <w:r w:rsidRPr="00306862">
              <w:rPr>
                <w:rFonts w:cs="Arial"/>
                <w:color w:val="000000"/>
                <w:sz w:val="24"/>
                <w:szCs w:val="24"/>
              </w:rPr>
              <w:t>50</w:t>
            </w:r>
          </w:p>
        </w:tc>
      </w:tr>
      <w:tr w:rsidR="00306862" w:rsidRPr="00306862" w14:paraId="12B8F705"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59B29594" w14:textId="77777777" w:rsidR="00306862" w:rsidRPr="00306862" w:rsidRDefault="00306862" w:rsidP="00306862">
            <w:pPr>
              <w:jc w:val="left"/>
              <w:rPr>
                <w:rFonts w:cs="Arial"/>
                <w:b/>
                <w:bCs/>
                <w:color w:val="000000"/>
                <w:sz w:val="24"/>
                <w:szCs w:val="24"/>
              </w:rPr>
            </w:pPr>
            <w:r w:rsidRPr="00306862">
              <w:rPr>
                <w:rFonts w:cs="Arial"/>
                <w:b/>
                <w:bCs/>
                <w:color w:val="000000"/>
                <w:sz w:val="24"/>
                <w:szCs w:val="24"/>
              </w:rPr>
              <w:t>Total Housing Revenue Account</w:t>
            </w:r>
          </w:p>
        </w:tc>
        <w:tc>
          <w:tcPr>
            <w:tcW w:w="1378" w:type="dxa"/>
            <w:tcBorders>
              <w:top w:val="nil"/>
              <w:left w:val="nil"/>
              <w:bottom w:val="nil"/>
              <w:right w:val="nil"/>
            </w:tcBorders>
            <w:shd w:val="clear" w:color="auto" w:fill="auto"/>
            <w:noWrap/>
            <w:hideMark/>
          </w:tcPr>
          <w:p w14:paraId="3321435B" w14:textId="77777777" w:rsidR="00306862" w:rsidRPr="00306862" w:rsidRDefault="00306862" w:rsidP="00306862">
            <w:pPr>
              <w:jc w:val="center"/>
              <w:rPr>
                <w:rFonts w:cs="Arial"/>
                <w:b/>
                <w:bCs/>
                <w:color w:val="000000"/>
                <w:sz w:val="24"/>
                <w:szCs w:val="24"/>
              </w:rPr>
            </w:pPr>
            <w:r w:rsidRPr="00306862">
              <w:rPr>
                <w:rFonts w:cs="Arial"/>
                <w:b/>
                <w:bCs/>
                <w:color w:val="000000"/>
                <w:sz w:val="24"/>
                <w:szCs w:val="24"/>
              </w:rPr>
              <w:t>6,617</w:t>
            </w:r>
          </w:p>
        </w:tc>
        <w:tc>
          <w:tcPr>
            <w:tcW w:w="1378" w:type="dxa"/>
            <w:tcBorders>
              <w:top w:val="nil"/>
              <w:left w:val="nil"/>
              <w:bottom w:val="nil"/>
              <w:right w:val="nil"/>
            </w:tcBorders>
            <w:shd w:val="clear" w:color="auto" w:fill="auto"/>
            <w:noWrap/>
            <w:hideMark/>
          </w:tcPr>
          <w:p w14:paraId="1E21C5D0" w14:textId="77777777" w:rsidR="00306862" w:rsidRPr="00306862" w:rsidRDefault="00306862" w:rsidP="00306862">
            <w:pPr>
              <w:jc w:val="center"/>
              <w:rPr>
                <w:rFonts w:cs="Arial"/>
                <w:b/>
                <w:bCs/>
                <w:color w:val="000000"/>
                <w:sz w:val="24"/>
                <w:szCs w:val="24"/>
              </w:rPr>
            </w:pPr>
            <w:r w:rsidRPr="00306862">
              <w:rPr>
                <w:rFonts w:cs="Arial"/>
                <w:b/>
                <w:bCs/>
                <w:color w:val="000000"/>
                <w:sz w:val="24"/>
                <w:szCs w:val="24"/>
              </w:rPr>
              <w:t>4,190</w:t>
            </w:r>
          </w:p>
        </w:tc>
        <w:tc>
          <w:tcPr>
            <w:tcW w:w="1378" w:type="dxa"/>
            <w:gridSpan w:val="2"/>
            <w:tcBorders>
              <w:top w:val="nil"/>
              <w:left w:val="nil"/>
              <w:bottom w:val="nil"/>
              <w:right w:val="nil"/>
            </w:tcBorders>
            <w:shd w:val="clear" w:color="auto" w:fill="auto"/>
            <w:noWrap/>
            <w:hideMark/>
          </w:tcPr>
          <w:p w14:paraId="10AE888B" w14:textId="77777777" w:rsidR="00306862" w:rsidRPr="00306862" w:rsidRDefault="00306862" w:rsidP="00306862">
            <w:pPr>
              <w:jc w:val="center"/>
              <w:rPr>
                <w:rFonts w:cs="Arial"/>
                <w:b/>
                <w:bCs/>
                <w:color w:val="000000"/>
                <w:sz w:val="24"/>
                <w:szCs w:val="24"/>
              </w:rPr>
            </w:pPr>
            <w:r w:rsidRPr="00306862">
              <w:rPr>
                <w:rFonts w:cs="Arial"/>
                <w:b/>
                <w:bCs/>
                <w:color w:val="000000"/>
                <w:sz w:val="24"/>
                <w:szCs w:val="24"/>
              </w:rPr>
              <w:t>4,190</w:t>
            </w:r>
          </w:p>
        </w:tc>
      </w:tr>
      <w:tr w:rsidR="00306862" w:rsidRPr="00306862" w14:paraId="6C9D4B78" w14:textId="77777777" w:rsidTr="00306862">
        <w:trPr>
          <w:gridAfter w:val="2"/>
          <w:wAfter w:w="3630" w:type="dxa"/>
          <w:trHeight w:val="312"/>
        </w:trPr>
        <w:tc>
          <w:tcPr>
            <w:tcW w:w="4536" w:type="dxa"/>
            <w:tcBorders>
              <w:top w:val="nil"/>
              <w:left w:val="nil"/>
              <w:bottom w:val="single" w:sz="4" w:space="0" w:color="auto"/>
              <w:right w:val="nil"/>
            </w:tcBorders>
            <w:shd w:val="clear" w:color="auto" w:fill="auto"/>
            <w:noWrap/>
            <w:vAlign w:val="bottom"/>
            <w:hideMark/>
          </w:tcPr>
          <w:p w14:paraId="5CE928F9" w14:textId="77777777" w:rsidR="00306862" w:rsidRPr="00306862" w:rsidRDefault="00306862" w:rsidP="00306862">
            <w:pPr>
              <w:jc w:val="left"/>
              <w:rPr>
                <w:rFonts w:cs="Arial"/>
                <w:b/>
                <w:bCs/>
                <w:color w:val="000000"/>
                <w:sz w:val="24"/>
                <w:szCs w:val="24"/>
                <w:u w:val="single"/>
              </w:rPr>
            </w:pPr>
            <w:r w:rsidRPr="00306862">
              <w:rPr>
                <w:rFonts w:cs="Arial"/>
                <w:b/>
                <w:bCs/>
                <w:color w:val="000000"/>
                <w:sz w:val="24"/>
                <w:szCs w:val="24"/>
                <w:u w:val="single"/>
              </w:rPr>
              <w:t> </w:t>
            </w:r>
          </w:p>
        </w:tc>
        <w:tc>
          <w:tcPr>
            <w:tcW w:w="1378" w:type="dxa"/>
            <w:tcBorders>
              <w:top w:val="nil"/>
              <w:left w:val="nil"/>
              <w:bottom w:val="nil"/>
              <w:right w:val="nil"/>
            </w:tcBorders>
            <w:shd w:val="clear" w:color="auto" w:fill="auto"/>
            <w:noWrap/>
            <w:hideMark/>
          </w:tcPr>
          <w:p w14:paraId="77D5AE19" w14:textId="77777777" w:rsidR="00306862" w:rsidRPr="00306862" w:rsidRDefault="00306862" w:rsidP="00306862">
            <w:pPr>
              <w:jc w:val="left"/>
              <w:rPr>
                <w:rFonts w:cs="Arial"/>
                <w:b/>
                <w:bCs/>
                <w:color w:val="000000"/>
                <w:sz w:val="24"/>
                <w:szCs w:val="24"/>
                <w:u w:val="single"/>
              </w:rPr>
            </w:pPr>
          </w:p>
        </w:tc>
        <w:tc>
          <w:tcPr>
            <w:tcW w:w="1378" w:type="dxa"/>
            <w:tcBorders>
              <w:top w:val="nil"/>
              <w:left w:val="nil"/>
              <w:bottom w:val="nil"/>
              <w:right w:val="nil"/>
            </w:tcBorders>
            <w:shd w:val="clear" w:color="auto" w:fill="auto"/>
            <w:noWrap/>
            <w:hideMark/>
          </w:tcPr>
          <w:p w14:paraId="5B84E686" w14:textId="77777777" w:rsidR="00306862" w:rsidRPr="00306862" w:rsidRDefault="00306862" w:rsidP="00306862">
            <w:pPr>
              <w:jc w:val="center"/>
              <w:rPr>
                <w:rFonts w:ascii="Times New Roman" w:hAnsi="Times New Roman"/>
                <w:sz w:val="20"/>
                <w:szCs w:val="20"/>
              </w:rPr>
            </w:pPr>
          </w:p>
        </w:tc>
        <w:tc>
          <w:tcPr>
            <w:tcW w:w="1378" w:type="dxa"/>
            <w:gridSpan w:val="2"/>
            <w:tcBorders>
              <w:top w:val="nil"/>
              <w:left w:val="nil"/>
              <w:bottom w:val="nil"/>
              <w:right w:val="nil"/>
            </w:tcBorders>
            <w:shd w:val="clear" w:color="auto" w:fill="auto"/>
            <w:noWrap/>
            <w:hideMark/>
          </w:tcPr>
          <w:p w14:paraId="148C7CD2" w14:textId="77777777" w:rsidR="00306862" w:rsidRPr="00306862" w:rsidRDefault="00306862" w:rsidP="00306862">
            <w:pPr>
              <w:jc w:val="center"/>
              <w:rPr>
                <w:rFonts w:ascii="Times New Roman" w:hAnsi="Times New Roman"/>
                <w:sz w:val="20"/>
                <w:szCs w:val="20"/>
              </w:rPr>
            </w:pPr>
          </w:p>
        </w:tc>
      </w:tr>
      <w:tr w:rsidR="00306862" w:rsidRPr="00306862" w14:paraId="6F6F920D"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696529DC" w14:textId="77777777" w:rsidR="00306862" w:rsidRPr="00306862" w:rsidRDefault="00306862" w:rsidP="00306862">
            <w:pPr>
              <w:jc w:val="left"/>
              <w:rPr>
                <w:rFonts w:cs="Arial"/>
                <w:b/>
                <w:bCs/>
                <w:color w:val="000000"/>
                <w:sz w:val="24"/>
                <w:szCs w:val="24"/>
              </w:rPr>
            </w:pPr>
            <w:r w:rsidRPr="00306862">
              <w:rPr>
                <w:rFonts w:cs="Arial"/>
                <w:b/>
                <w:bCs/>
                <w:color w:val="000000"/>
                <w:sz w:val="24"/>
                <w:szCs w:val="24"/>
              </w:rPr>
              <w:t> New Build Schemes</w:t>
            </w:r>
          </w:p>
        </w:tc>
        <w:tc>
          <w:tcPr>
            <w:tcW w:w="1378" w:type="dxa"/>
            <w:tcBorders>
              <w:top w:val="single" w:sz="4" w:space="0" w:color="auto"/>
              <w:left w:val="nil"/>
              <w:bottom w:val="nil"/>
              <w:right w:val="nil"/>
            </w:tcBorders>
            <w:shd w:val="clear" w:color="auto" w:fill="auto"/>
            <w:hideMark/>
          </w:tcPr>
          <w:p w14:paraId="6903D315" w14:textId="77777777" w:rsidR="00306862" w:rsidRPr="00306862" w:rsidRDefault="00306862" w:rsidP="00306862">
            <w:pPr>
              <w:jc w:val="center"/>
              <w:rPr>
                <w:rFonts w:cs="Arial"/>
                <w:b/>
                <w:bCs/>
                <w:color w:val="000000"/>
                <w:sz w:val="24"/>
                <w:szCs w:val="24"/>
              </w:rPr>
            </w:pPr>
            <w:r w:rsidRPr="00306862">
              <w:rPr>
                <w:rFonts w:cs="Arial"/>
                <w:b/>
                <w:bCs/>
                <w:color w:val="000000"/>
                <w:sz w:val="24"/>
                <w:szCs w:val="24"/>
              </w:rPr>
              <w:t>2021/22</w:t>
            </w:r>
          </w:p>
        </w:tc>
        <w:tc>
          <w:tcPr>
            <w:tcW w:w="1378" w:type="dxa"/>
            <w:tcBorders>
              <w:top w:val="single" w:sz="4" w:space="0" w:color="auto"/>
              <w:left w:val="nil"/>
              <w:bottom w:val="nil"/>
              <w:right w:val="nil"/>
            </w:tcBorders>
            <w:shd w:val="clear" w:color="auto" w:fill="auto"/>
            <w:hideMark/>
          </w:tcPr>
          <w:p w14:paraId="52C5B7A0" w14:textId="77777777" w:rsidR="00306862" w:rsidRPr="00306862" w:rsidRDefault="00306862" w:rsidP="00306862">
            <w:pPr>
              <w:jc w:val="center"/>
              <w:rPr>
                <w:rFonts w:cs="Arial"/>
                <w:b/>
                <w:bCs/>
                <w:color w:val="000000"/>
                <w:sz w:val="24"/>
                <w:szCs w:val="24"/>
              </w:rPr>
            </w:pPr>
            <w:r w:rsidRPr="00306862">
              <w:rPr>
                <w:rFonts w:cs="Arial"/>
                <w:b/>
                <w:bCs/>
                <w:color w:val="000000"/>
                <w:sz w:val="24"/>
                <w:szCs w:val="24"/>
              </w:rPr>
              <w:t>2022/23</w:t>
            </w:r>
          </w:p>
        </w:tc>
        <w:tc>
          <w:tcPr>
            <w:tcW w:w="1378" w:type="dxa"/>
            <w:gridSpan w:val="2"/>
            <w:tcBorders>
              <w:top w:val="single" w:sz="4" w:space="0" w:color="auto"/>
              <w:left w:val="nil"/>
              <w:bottom w:val="nil"/>
              <w:right w:val="nil"/>
            </w:tcBorders>
            <w:shd w:val="clear" w:color="auto" w:fill="auto"/>
            <w:hideMark/>
          </w:tcPr>
          <w:p w14:paraId="06225DA7" w14:textId="77777777" w:rsidR="00306862" w:rsidRPr="00306862" w:rsidRDefault="00306862" w:rsidP="00306862">
            <w:pPr>
              <w:jc w:val="center"/>
              <w:rPr>
                <w:rFonts w:cs="Arial"/>
                <w:b/>
                <w:bCs/>
                <w:color w:val="000000"/>
                <w:sz w:val="24"/>
                <w:szCs w:val="24"/>
              </w:rPr>
            </w:pPr>
            <w:r w:rsidRPr="00306862">
              <w:rPr>
                <w:rFonts w:cs="Arial"/>
                <w:b/>
                <w:bCs/>
                <w:color w:val="000000"/>
                <w:sz w:val="24"/>
                <w:szCs w:val="24"/>
              </w:rPr>
              <w:t>2023/24</w:t>
            </w:r>
          </w:p>
        </w:tc>
      </w:tr>
      <w:tr w:rsidR="00306862" w:rsidRPr="00306862" w14:paraId="3ED7DCD8" w14:textId="77777777" w:rsidTr="00306862">
        <w:trPr>
          <w:gridAfter w:val="2"/>
          <w:wAfter w:w="3630" w:type="dxa"/>
          <w:trHeight w:val="300"/>
        </w:trPr>
        <w:tc>
          <w:tcPr>
            <w:tcW w:w="4536" w:type="dxa"/>
            <w:tcBorders>
              <w:top w:val="nil"/>
              <w:left w:val="nil"/>
              <w:bottom w:val="single" w:sz="4" w:space="0" w:color="auto"/>
              <w:right w:val="nil"/>
            </w:tcBorders>
            <w:shd w:val="clear" w:color="auto" w:fill="auto"/>
            <w:noWrap/>
            <w:hideMark/>
          </w:tcPr>
          <w:p w14:paraId="2642FA61" w14:textId="77777777" w:rsidR="00306862" w:rsidRPr="00306862" w:rsidRDefault="00306862" w:rsidP="00306862">
            <w:pPr>
              <w:jc w:val="left"/>
              <w:rPr>
                <w:rFonts w:cs="Arial"/>
                <w:color w:val="000000"/>
                <w:sz w:val="24"/>
                <w:szCs w:val="24"/>
              </w:rPr>
            </w:pPr>
            <w:r w:rsidRPr="00306862">
              <w:rPr>
                <w:rFonts w:cs="Arial"/>
                <w:color w:val="000000"/>
                <w:sz w:val="24"/>
                <w:szCs w:val="24"/>
              </w:rPr>
              <w:t> </w:t>
            </w:r>
          </w:p>
        </w:tc>
        <w:tc>
          <w:tcPr>
            <w:tcW w:w="1378" w:type="dxa"/>
            <w:tcBorders>
              <w:top w:val="nil"/>
              <w:left w:val="nil"/>
              <w:bottom w:val="single" w:sz="4" w:space="0" w:color="auto"/>
              <w:right w:val="nil"/>
            </w:tcBorders>
            <w:shd w:val="clear" w:color="auto" w:fill="auto"/>
            <w:hideMark/>
          </w:tcPr>
          <w:p w14:paraId="728C263D" w14:textId="77777777" w:rsidR="00306862" w:rsidRPr="00306862" w:rsidRDefault="00306862" w:rsidP="00306862">
            <w:pPr>
              <w:jc w:val="center"/>
              <w:rPr>
                <w:rFonts w:cs="Arial"/>
                <w:color w:val="000000"/>
                <w:sz w:val="24"/>
                <w:szCs w:val="24"/>
              </w:rPr>
            </w:pPr>
            <w:r w:rsidRPr="00306862">
              <w:rPr>
                <w:rFonts w:cs="Arial"/>
                <w:color w:val="000000"/>
                <w:sz w:val="24"/>
                <w:szCs w:val="24"/>
              </w:rPr>
              <w:t>£000</w:t>
            </w:r>
          </w:p>
        </w:tc>
        <w:tc>
          <w:tcPr>
            <w:tcW w:w="1378" w:type="dxa"/>
            <w:tcBorders>
              <w:top w:val="nil"/>
              <w:left w:val="nil"/>
              <w:bottom w:val="single" w:sz="4" w:space="0" w:color="auto"/>
              <w:right w:val="nil"/>
            </w:tcBorders>
            <w:shd w:val="clear" w:color="auto" w:fill="auto"/>
            <w:hideMark/>
          </w:tcPr>
          <w:p w14:paraId="05A3EB8C" w14:textId="77777777" w:rsidR="00306862" w:rsidRPr="00306862" w:rsidRDefault="00306862" w:rsidP="00306862">
            <w:pPr>
              <w:jc w:val="center"/>
              <w:rPr>
                <w:rFonts w:cs="Arial"/>
                <w:color w:val="000000"/>
                <w:sz w:val="24"/>
                <w:szCs w:val="24"/>
              </w:rPr>
            </w:pPr>
            <w:r w:rsidRPr="00306862">
              <w:rPr>
                <w:rFonts w:cs="Arial"/>
                <w:color w:val="000000"/>
                <w:sz w:val="24"/>
                <w:szCs w:val="24"/>
              </w:rPr>
              <w:t>£000</w:t>
            </w:r>
          </w:p>
        </w:tc>
        <w:tc>
          <w:tcPr>
            <w:tcW w:w="1378" w:type="dxa"/>
            <w:gridSpan w:val="2"/>
            <w:tcBorders>
              <w:top w:val="nil"/>
              <w:left w:val="nil"/>
              <w:bottom w:val="single" w:sz="4" w:space="0" w:color="auto"/>
              <w:right w:val="nil"/>
            </w:tcBorders>
            <w:shd w:val="clear" w:color="auto" w:fill="auto"/>
            <w:hideMark/>
          </w:tcPr>
          <w:p w14:paraId="7C901739" w14:textId="77777777" w:rsidR="00306862" w:rsidRPr="00306862" w:rsidRDefault="00306862" w:rsidP="00306862">
            <w:pPr>
              <w:jc w:val="center"/>
              <w:rPr>
                <w:rFonts w:cs="Arial"/>
                <w:color w:val="000000"/>
                <w:sz w:val="24"/>
                <w:szCs w:val="24"/>
              </w:rPr>
            </w:pPr>
            <w:r w:rsidRPr="00306862">
              <w:rPr>
                <w:rFonts w:cs="Arial"/>
                <w:color w:val="000000"/>
                <w:sz w:val="24"/>
                <w:szCs w:val="24"/>
              </w:rPr>
              <w:t>£000</w:t>
            </w:r>
          </w:p>
        </w:tc>
      </w:tr>
      <w:tr w:rsidR="00306862" w:rsidRPr="00306862" w14:paraId="36E9CCB4"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7A401D1D" w14:textId="77777777" w:rsidR="00306862" w:rsidRPr="00306862" w:rsidRDefault="00306862" w:rsidP="00306862">
            <w:pPr>
              <w:jc w:val="left"/>
              <w:rPr>
                <w:rFonts w:cs="Arial"/>
                <w:color w:val="000000"/>
                <w:sz w:val="24"/>
                <w:szCs w:val="24"/>
              </w:rPr>
            </w:pPr>
            <w:r w:rsidRPr="00306862">
              <w:rPr>
                <w:rFonts w:cs="Arial"/>
                <w:color w:val="000000"/>
                <w:sz w:val="24"/>
                <w:szCs w:val="24"/>
              </w:rPr>
              <w:t>Rosemary Avenue</w:t>
            </w:r>
          </w:p>
        </w:tc>
        <w:tc>
          <w:tcPr>
            <w:tcW w:w="1378" w:type="dxa"/>
            <w:tcBorders>
              <w:top w:val="nil"/>
              <w:left w:val="nil"/>
              <w:bottom w:val="nil"/>
              <w:right w:val="nil"/>
            </w:tcBorders>
            <w:shd w:val="clear" w:color="auto" w:fill="auto"/>
            <w:noWrap/>
            <w:hideMark/>
          </w:tcPr>
          <w:p w14:paraId="08A9C8CA" w14:textId="77777777" w:rsidR="00306862" w:rsidRPr="00306862" w:rsidRDefault="00306862" w:rsidP="00306862">
            <w:pPr>
              <w:jc w:val="center"/>
              <w:rPr>
                <w:rFonts w:cs="Arial"/>
                <w:color w:val="000000"/>
                <w:sz w:val="24"/>
                <w:szCs w:val="24"/>
              </w:rPr>
            </w:pPr>
            <w:r w:rsidRPr="00306862">
              <w:rPr>
                <w:rFonts w:cs="Arial"/>
                <w:color w:val="000000"/>
                <w:sz w:val="24"/>
                <w:szCs w:val="24"/>
              </w:rPr>
              <w:t>100</w:t>
            </w:r>
          </w:p>
        </w:tc>
        <w:tc>
          <w:tcPr>
            <w:tcW w:w="1378" w:type="dxa"/>
            <w:tcBorders>
              <w:top w:val="nil"/>
              <w:left w:val="nil"/>
              <w:bottom w:val="nil"/>
              <w:right w:val="nil"/>
            </w:tcBorders>
            <w:shd w:val="clear" w:color="auto" w:fill="auto"/>
            <w:noWrap/>
            <w:hideMark/>
          </w:tcPr>
          <w:p w14:paraId="7488AC8B"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c>
          <w:tcPr>
            <w:tcW w:w="1378" w:type="dxa"/>
            <w:gridSpan w:val="2"/>
            <w:tcBorders>
              <w:top w:val="nil"/>
              <w:left w:val="nil"/>
              <w:bottom w:val="nil"/>
              <w:right w:val="nil"/>
            </w:tcBorders>
            <w:shd w:val="clear" w:color="auto" w:fill="auto"/>
            <w:noWrap/>
            <w:hideMark/>
          </w:tcPr>
          <w:p w14:paraId="3A50556B"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r>
      <w:tr w:rsidR="00306862" w:rsidRPr="00306862" w14:paraId="0B232959"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425EDF45" w14:textId="77777777" w:rsidR="00306862" w:rsidRPr="00306862" w:rsidRDefault="00306862" w:rsidP="00306862">
            <w:pPr>
              <w:jc w:val="left"/>
              <w:rPr>
                <w:rFonts w:cs="Arial"/>
                <w:color w:val="000000"/>
                <w:sz w:val="24"/>
                <w:szCs w:val="24"/>
              </w:rPr>
            </w:pPr>
            <w:r w:rsidRPr="00306862">
              <w:rPr>
                <w:rFonts w:cs="Arial"/>
                <w:color w:val="000000"/>
                <w:sz w:val="24"/>
                <w:szCs w:val="24"/>
              </w:rPr>
              <w:t>Melville Court</w:t>
            </w:r>
          </w:p>
        </w:tc>
        <w:tc>
          <w:tcPr>
            <w:tcW w:w="1378" w:type="dxa"/>
            <w:tcBorders>
              <w:top w:val="nil"/>
              <w:left w:val="nil"/>
              <w:bottom w:val="nil"/>
              <w:right w:val="nil"/>
            </w:tcBorders>
            <w:shd w:val="clear" w:color="auto" w:fill="auto"/>
            <w:noWrap/>
            <w:hideMark/>
          </w:tcPr>
          <w:p w14:paraId="4CA837A7" w14:textId="77777777" w:rsidR="00306862" w:rsidRPr="00306862" w:rsidRDefault="00306862" w:rsidP="00306862">
            <w:pPr>
              <w:jc w:val="center"/>
              <w:rPr>
                <w:rFonts w:cs="Arial"/>
                <w:color w:val="000000"/>
                <w:sz w:val="24"/>
                <w:szCs w:val="24"/>
              </w:rPr>
            </w:pPr>
            <w:r w:rsidRPr="00306862">
              <w:rPr>
                <w:rFonts w:cs="Arial"/>
                <w:color w:val="000000"/>
                <w:sz w:val="24"/>
                <w:szCs w:val="24"/>
              </w:rPr>
              <w:t>1,994</w:t>
            </w:r>
          </w:p>
        </w:tc>
        <w:tc>
          <w:tcPr>
            <w:tcW w:w="1378" w:type="dxa"/>
            <w:tcBorders>
              <w:top w:val="nil"/>
              <w:left w:val="nil"/>
              <w:bottom w:val="nil"/>
              <w:right w:val="nil"/>
            </w:tcBorders>
            <w:shd w:val="clear" w:color="auto" w:fill="auto"/>
            <w:noWrap/>
            <w:hideMark/>
          </w:tcPr>
          <w:p w14:paraId="6C6BD67C"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c>
          <w:tcPr>
            <w:tcW w:w="1378" w:type="dxa"/>
            <w:gridSpan w:val="2"/>
            <w:tcBorders>
              <w:top w:val="nil"/>
              <w:left w:val="nil"/>
              <w:bottom w:val="nil"/>
              <w:right w:val="nil"/>
            </w:tcBorders>
            <w:shd w:val="clear" w:color="auto" w:fill="auto"/>
            <w:noWrap/>
            <w:hideMark/>
          </w:tcPr>
          <w:p w14:paraId="00104491"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r>
      <w:tr w:rsidR="00306862" w:rsidRPr="00306862" w14:paraId="1B54CC9D"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5EF5F76D" w14:textId="77777777" w:rsidR="00306862" w:rsidRPr="00306862" w:rsidRDefault="00306862" w:rsidP="00306862">
            <w:pPr>
              <w:jc w:val="left"/>
              <w:rPr>
                <w:rFonts w:cs="Arial"/>
                <w:color w:val="000000"/>
                <w:sz w:val="24"/>
                <w:szCs w:val="24"/>
              </w:rPr>
            </w:pPr>
            <w:proofErr w:type="spellStart"/>
            <w:r w:rsidRPr="00306862">
              <w:rPr>
                <w:rFonts w:cs="Arial"/>
                <w:color w:val="000000"/>
                <w:sz w:val="24"/>
                <w:szCs w:val="24"/>
              </w:rPr>
              <w:t>Newarks</w:t>
            </w:r>
            <w:proofErr w:type="spellEnd"/>
            <w:r w:rsidRPr="00306862">
              <w:rPr>
                <w:rFonts w:cs="Arial"/>
                <w:color w:val="000000"/>
                <w:sz w:val="24"/>
                <w:szCs w:val="24"/>
              </w:rPr>
              <w:t xml:space="preserve"> Bellamy New Build</w:t>
            </w:r>
          </w:p>
        </w:tc>
        <w:tc>
          <w:tcPr>
            <w:tcW w:w="1378" w:type="dxa"/>
            <w:tcBorders>
              <w:top w:val="nil"/>
              <w:left w:val="nil"/>
              <w:bottom w:val="nil"/>
              <w:right w:val="nil"/>
            </w:tcBorders>
            <w:shd w:val="clear" w:color="auto" w:fill="auto"/>
            <w:noWrap/>
            <w:hideMark/>
          </w:tcPr>
          <w:p w14:paraId="1D21EBA8" w14:textId="77777777" w:rsidR="00306862" w:rsidRPr="00306862" w:rsidRDefault="00306862" w:rsidP="00306862">
            <w:pPr>
              <w:jc w:val="center"/>
              <w:rPr>
                <w:rFonts w:cs="Arial"/>
                <w:color w:val="000000"/>
                <w:sz w:val="24"/>
                <w:szCs w:val="24"/>
              </w:rPr>
            </w:pPr>
            <w:r w:rsidRPr="00306862">
              <w:rPr>
                <w:rFonts w:cs="Arial"/>
                <w:color w:val="000000"/>
                <w:sz w:val="24"/>
                <w:szCs w:val="24"/>
              </w:rPr>
              <w:t>3,974</w:t>
            </w:r>
          </w:p>
        </w:tc>
        <w:tc>
          <w:tcPr>
            <w:tcW w:w="1378" w:type="dxa"/>
            <w:tcBorders>
              <w:top w:val="nil"/>
              <w:left w:val="nil"/>
              <w:bottom w:val="nil"/>
              <w:right w:val="nil"/>
            </w:tcBorders>
            <w:shd w:val="clear" w:color="auto" w:fill="auto"/>
            <w:noWrap/>
            <w:hideMark/>
          </w:tcPr>
          <w:p w14:paraId="395A523D"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c>
          <w:tcPr>
            <w:tcW w:w="1378" w:type="dxa"/>
            <w:gridSpan w:val="2"/>
            <w:tcBorders>
              <w:top w:val="nil"/>
              <w:left w:val="nil"/>
              <w:bottom w:val="nil"/>
              <w:right w:val="nil"/>
            </w:tcBorders>
            <w:shd w:val="clear" w:color="auto" w:fill="auto"/>
            <w:noWrap/>
            <w:hideMark/>
          </w:tcPr>
          <w:p w14:paraId="5911CF91"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r>
      <w:tr w:rsidR="00306862" w:rsidRPr="00306862" w14:paraId="483F5FD8"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1F3A5BD5" w14:textId="77777777" w:rsidR="00306862" w:rsidRPr="00306862" w:rsidRDefault="00306862" w:rsidP="00306862">
            <w:pPr>
              <w:jc w:val="left"/>
              <w:rPr>
                <w:rFonts w:cs="Arial"/>
                <w:color w:val="000000"/>
                <w:sz w:val="24"/>
                <w:szCs w:val="24"/>
              </w:rPr>
            </w:pPr>
            <w:r w:rsidRPr="00306862">
              <w:rPr>
                <w:rFonts w:cs="Arial"/>
                <w:color w:val="000000"/>
                <w:sz w:val="24"/>
                <w:szCs w:val="24"/>
              </w:rPr>
              <w:t>Community Heart Bellamy Road</w:t>
            </w:r>
          </w:p>
        </w:tc>
        <w:tc>
          <w:tcPr>
            <w:tcW w:w="1378" w:type="dxa"/>
            <w:tcBorders>
              <w:top w:val="nil"/>
              <w:left w:val="nil"/>
              <w:bottom w:val="nil"/>
              <w:right w:val="nil"/>
            </w:tcBorders>
            <w:shd w:val="clear" w:color="auto" w:fill="auto"/>
            <w:noWrap/>
            <w:hideMark/>
          </w:tcPr>
          <w:p w14:paraId="1CE1C815" w14:textId="77777777" w:rsidR="00306862" w:rsidRPr="00306862" w:rsidRDefault="00306862" w:rsidP="00306862">
            <w:pPr>
              <w:jc w:val="center"/>
              <w:rPr>
                <w:rFonts w:cs="Arial"/>
                <w:color w:val="000000"/>
                <w:sz w:val="24"/>
                <w:szCs w:val="24"/>
              </w:rPr>
            </w:pPr>
            <w:r w:rsidRPr="00306862">
              <w:rPr>
                <w:rFonts w:cs="Arial"/>
                <w:color w:val="000000"/>
                <w:sz w:val="24"/>
                <w:szCs w:val="24"/>
              </w:rPr>
              <w:t>4,196</w:t>
            </w:r>
          </w:p>
        </w:tc>
        <w:tc>
          <w:tcPr>
            <w:tcW w:w="1378" w:type="dxa"/>
            <w:tcBorders>
              <w:top w:val="nil"/>
              <w:left w:val="nil"/>
              <w:bottom w:val="nil"/>
              <w:right w:val="nil"/>
            </w:tcBorders>
            <w:shd w:val="clear" w:color="auto" w:fill="auto"/>
            <w:noWrap/>
            <w:hideMark/>
          </w:tcPr>
          <w:p w14:paraId="1CC58EF8" w14:textId="77777777" w:rsidR="00306862" w:rsidRPr="00306862" w:rsidRDefault="00306862" w:rsidP="00306862">
            <w:pPr>
              <w:jc w:val="center"/>
              <w:rPr>
                <w:rFonts w:cs="Arial"/>
                <w:color w:val="000000"/>
                <w:sz w:val="24"/>
                <w:szCs w:val="24"/>
              </w:rPr>
            </w:pPr>
            <w:r w:rsidRPr="00306862">
              <w:rPr>
                <w:rFonts w:cs="Arial"/>
                <w:color w:val="000000"/>
                <w:sz w:val="24"/>
                <w:szCs w:val="24"/>
              </w:rPr>
              <w:t>789</w:t>
            </w:r>
          </w:p>
        </w:tc>
        <w:tc>
          <w:tcPr>
            <w:tcW w:w="1378" w:type="dxa"/>
            <w:gridSpan w:val="2"/>
            <w:tcBorders>
              <w:top w:val="nil"/>
              <w:left w:val="nil"/>
              <w:bottom w:val="nil"/>
              <w:right w:val="nil"/>
            </w:tcBorders>
            <w:shd w:val="clear" w:color="auto" w:fill="auto"/>
            <w:noWrap/>
            <w:hideMark/>
          </w:tcPr>
          <w:p w14:paraId="620A828E"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r>
      <w:tr w:rsidR="00306862" w:rsidRPr="00306862" w14:paraId="47CF108B"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424CCEA4" w14:textId="77777777" w:rsidR="00306862" w:rsidRPr="00306862" w:rsidRDefault="00306862" w:rsidP="00306862">
            <w:pPr>
              <w:jc w:val="left"/>
              <w:rPr>
                <w:rFonts w:cs="Arial"/>
                <w:color w:val="000000"/>
                <w:sz w:val="24"/>
                <w:szCs w:val="24"/>
              </w:rPr>
            </w:pPr>
            <w:r w:rsidRPr="00306862">
              <w:rPr>
                <w:rFonts w:cs="Arial"/>
                <w:color w:val="000000"/>
                <w:sz w:val="24"/>
                <w:szCs w:val="24"/>
              </w:rPr>
              <w:t>Centenary Road (Phase 3)</w:t>
            </w:r>
          </w:p>
        </w:tc>
        <w:tc>
          <w:tcPr>
            <w:tcW w:w="1378" w:type="dxa"/>
            <w:tcBorders>
              <w:top w:val="nil"/>
              <w:left w:val="nil"/>
              <w:bottom w:val="nil"/>
              <w:right w:val="nil"/>
            </w:tcBorders>
            <w:shd w:val="clear" w:color="auto" w:fill="auto"/>
            <w:noWrap/>
            <w:hideMark/>
          </w:tcPr>
          <w:p w14:paraId="17A03602" w14:textId="77777777" w:rsidR="00306862" w:rsidRPr="00306862" w:rsidRDefault="00306862" w:rsidP="00306862">
            <w:pPr>
              <w:jc w:val="center"/>
              <w:rPr>
                <w:rFonts w:cs="Arial"/>
                <w:color w:val="000000"/>
                <w:sz w:val="24"/>
                <w:szCs w:val="24"/>
              </w:rPr>
            </w:pPr>
            <w:r w:rsidRPr="00306862">
              <w:rPr>
                <w:rFonts w:cs="Arial"/>
                <w:color w:val="000000"/>
                <w:sz w:val="24"/>
                <w:szCs w:val="24"/>
              </w:rPr>
              <w:t>12,084</w:t>
            </w:r>
          </w:p>
        </w:tc>
        <w:tc>
          <w:tcPr>
            <w:tcW w:w="1378" w:type="dxa"/>
            <w:tcBorders>
              <w:top w:val="nil"/>
              <w:left w:val="nil"/>
              <w:bottom w:val="nil"/>
              <w:right w:val="nil"/>
            </w:tcBorders>
            <w:shd w:val="clear" w:color="auto" w:fill="auto"/>
            <w:noWrap/>
            <w:hideMark/>
          </w:tcPr>
          <w:p w14:paraId="7844A8B0" w14:textId="77777777" w:rsidR="00306862" w:rsidRPr="00306862" w:rsidRDefault="00306862" w:rsidP="00306862">
            <w:pPr>
              <w:jc w:val="center"/>
              <w:rPr>
                <w:rFonts w:cs="Arial"/>
                <w:color w:val="000000"/>
                <w:sz w:val="24"/>
                <w:szCs w:val="24"/>
              </w:rPr>
            </w:pPr>
            <w:r w:rsidRPr="00306862">
              <w:rPr>
                <w:rFonts w:cs="Arial"/>
                <w:color w:val="000000"/>
                <w:sz w:val="24"/>
                <w:szCs w:val="24"/>
              </w:rPr>
              <w:t>2,906</w:t>
            </w:r>
          </w:p>
        </w:tc>
        <w:tc>
          <w:tcPr>
            <w:tcW w:w="1378" w:type="dxa"/>
            <w:gridSpan w:val="2"/>
            <w:tcBorders>
              <w:top w:val="nil"/>
              <w:left w:val="nil"/>
              <w:bottom w:val="nil"/>
              <w:right w:val="nil"/>
            </w:tcBorders>
            <w:shd w:val="clear" w:color="auto" w:fill="auto"/>
            <w:noWrap/>
            <w:hideMark/>
          </w:tcPr>
          <w:p w14:paraId="7D087074"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r>
      <w:tr w:rsidR="00306862" w:rsidRPr="00306862" w14:paraId="52EFF5DE"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6DBA8ED1" w14:textId="77777777" w:rsidR="00306862" w:rsidRPr="00306862" w:rsidRDefault="00306862" w:rsidP="00306862">
            <w:pPr>
              <w:jc w:val="left"/>
              <w:rPr>
                <w:rFonts w:cs="Arial"/>
                <w:color w:val="000000"/>
                <w:sz w:val="24"/>
                <w:szCs w:val="24"/>
              </w:rPr>
            </w:pPr>
            <w:r w:rsidRPr="00306862">
              <w:rPr>
                <w:rFonts w:cs="Arial"/>
                <w:color w:val="000000"/>
                <w:sz w:val="24"/>
                <w:szCs w:val="24"/>
              </w:rPr>
              <w:t>Barrow Hill Walk</w:t>
            </w:r>
          </w:p>
        </w:tc>
        <w:tc>
          <w:tcPr>
            <w:tcW w:w="1378" w:type="dxa"/>
            <w:tcBorders>
              <w:top w:val="nil"/>
              <w:left w:val="nil"/>
              <w:bottom w:val="nil"/>
              <w:right w:val="nil"/>
            </w:tcBorders>
            <w:shd w:val="clear" w:color="auto" w:fill="auto"/>
            <w:noWrap/>
            <w:hideMark/>
          </w:tcPr>
          <w:p w14:paraId="2905DE77" w14:textId="77777777" w:rsidR="00306862" w:rsidRPr="00306862" w:rsidRDefault="00306862" w:rsidP="00306862">
            <w:pPr>
              <w:jc w:val="center"/>
              <w:rPr>
                <w:rFonts w:cs="Arial"/>
                <w:color w:val="000000"/>
                <w:sz w:val="24"/>
                <w:szCs w:val="24"/>
              </w:rPr>
            </w:pPr>
            <w:r w:rsidRPr="00306862">
              <w:rPr>
                <w:rFonts w:cs="Arial"/>
                <w:color w:val="000000"/>
                <w:sz w:val="24"/>
                <w:szCs w:val="24"/>
              </w:rPr>
              <w:t>900</w:t>
            </w:r>
          </w:p>
        </w:tc>
        <w:tc>
          <w:tcPr>
            <w:tcW w:w="1378" w:type="dxa"/>
            <w:tcBorders>
              <w:top w:val="nil"/>
              <w:left w:val="nil"/>
              <w:bottom w:val="nil"/>
              <w:right w:val="nil"/>
            </w:tcBorders>
            <w:shd w:val="clear" w:color="auto" w:fill="auto"/>
            <w:noWrap/>
            <w:hideMark/>
          </w:tcPr>
          <w:p w14:paraId="61343C7E"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c>
          <w:tcPr>
            <w:tcW w:w="1378" w:type="dxa"/>
            <w:gridSpan w:val="2"/>
            <w:tcBorders>
              <w:top w:val="nil"/>
              <w:left w:val="nil"/>
              <w:bottom w:val="nil"/>
              <w:right w:val="nil"/>
            </w:tcBorders>
            <w:shd w:val="clear" w:color="auto" w:fill="auto"/>
            <w:noWrap/>
            <w:hideMark/>
          </w:tcPr>
          <w:p w14:paraId="2C018FA2"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r>
      <w:tr w:rsidR="00306862" w:rsidRPr="00306862" w14:paraId="3866271B"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5AB83271" w14:textId="77777777" w:rsidR="00306862" w:rsidRPr="00306862" w:rsidRDefault="00306862" w:rsidP="00306862">
            <w:pPr>
              <w:jc w:val="left"/>
              <w:rPr>
                <w:rFonts w:cs="Arial"/>
                <w:color w:val="000000"/>
                <w:sz w:val="24"/>
                <w:szCs w:val="24"/>
              </w:rPr>
            </w:pPr>
            <w:proofErr w:type="spellStart"/>
            <w:r w:rsidRPr="00306862">
              <w:rPr>
                <w:rFonts w:cs="Arial"/>
                <w:color w:val="000000"/>
                <w:sz w:val="24"/>
                <w:szCs w:val="24"/>
              </w:rPr>
              <w:t>Saunby</w:t>
            </w:r>
            <w:proofErr w:type="spellEnd"/>
            <w:r w:rsidRPr="00306862">
              <w:rPr>
                <w:rFonts w:cs="Arial"/>
                <w:color w:val="000000"/>
                <w:sz w:val="24"/>
                <w:szCs w:val="24"/>
              </w:rPr>
              <w:t xml:space="preserve"> Avenue</w:t>
            </w:r>
          </w:p>
        </w:tc>
        <w:tc>
          <w:tcPr>
            <w:tcW w:w="1378" w:type="dxa"/>
            <w:tcBorders>
              <w:top w:val="nil"/>
              <w:left w:val="nil"/>
              <w:bottom w:val="nil"/>
              <w:right w:val="nil"/>
            </w:tcBorders>
            <w:shd w:val="clear" w:color="auto" w:fill="auto"/>
            <w:noWrap/>
            <w:hideMark/>
          </w:tcPr>
          <w:p w14:paraId="67740F5C" w14:textId="77777777" w:rsidR="00306862" w:rsidRPr="00306862" w:rsidRDefault="00306862" w:rsidP="00306862">
            <w:pPr>
              <w:jc w:val="center"/>
              <w:rPr>
                <w:rFonts w:cs="Arial"/>
                <w:color w:val="000000"/>
                <w:sz w:val="24"/>
                <w:szCs w:val="24"/>
              </w:rPr>
            </w:pPr>
            <w:r w:rsidRPr="00306862">
              <w:rPr>
                <w:rFonts w:cs="Arial"/>
                <w:color w:val="000000"/>
                <w:sz w:val="24"/>
                <w:szCs w:val="24"/>
              </w:rPr>
              <w:t>888</w:t>
            </w:r>
          </w:p>
        </w:tc>
        <w:tc>
          <w:tcPr>
            <w:tcW w:w="1378" w:type="dxa"/>
            <w:tcBorders>
              <w:top w:val="nil"/>
              <w:left w:val="nil"/>
              <w:bottom w:val="nil"/>
              <w:right w:val="nil"/>
            </w:tcBorders>
            <w:shd w:val="clear" w:color="auto" w:fill="auto"/>
            <w:noWrap/>
            <w:hideMark/>
          </w:tcPr>
          <w:p w14:paraId="6A7E355B" w14:textId="77777777" w:rsidR="00306862" w:rsidRPr="00306862" w:rsidRDefault="00306862" w:rsidP="00306862">
            <w:pPr>
              <w:jc w:val="center"/>
              <w:rPr>
                <w:rFonts w:cs="Arial"/>
                <w:color w:val="000000"/>
                <w:sz w:val="24"/>
                <w:szCs w:val="24"/>
              </w:rPr>
            </w:pPr>
            <w:r w:rsidRPr="00306862">
              <w:rPr>
                <w:rFonts w:cs="Arial"/>
                <w:color w:val="000000"/>
                <w:sz w:val="24"/>
                <w:szCs w:val="24"/>
              </w:rPr>
              <w:t>42</w:t>
            </w:r>
          </w:p>
        </w:tc>
        <w:tc>
          <w:tcPr>
            <w:tcW w:w="1378" w:type="dxa"/>
            <w:gridSpan w:val="2"/>
            <w:tcBorders>
              <w:top w:val="nil"/>
              <w:left w:val="nil"/>
              <w:bottom w:val="nil"/>
              <w:right w:val="nil"/>
            </w:tcBorders>
            <w:shd w:val="clear" w:color="auto" w:fill="auto"/>
            <w:noWrap/>
            <w:hideMark/>
          </w:tcPr>
          <w:p w14:paraId="06D1C458"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r>
      <w:tr w:rsidR="00306862" w:rsidRPr="00306862" w14:paraId="0A1000FE"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41F7070F" w14:textId="77777777" w:rsidR="00306862" w:rsidRPr="00306862" w:rsidRDefault="00306862" w:rsidP="00306862">
            <w:pPr>
              <w:jc w:val="left"/>
              <w:rPr>
                <w:rFonts w:cs="Arial"/>
                <w:color w:val="000000"/>
                <w:sz w:val="24"/>
                <w:szCs w:val="24"/>
              </w:rPr>
            </w:pPr>
            <w:proofErr w:type="spellStart"/>
            <w:r w:rsidRPr="00306862">
              <w:rPr>
                <w:rFonts w:cs="Arial"/>
                <w:color w:val="000000"/>
                <w:sz w:val="24"/>
                <w:szCs w:val="24"/>
              </w:rPr>
              <w:t>Fritchley</w:t>
            </w:r>
            <w:proofErr w:type="spellEnd"/>
            <w:r w:rsidRPr="00306862">
              <w:rPr>
                <w:rFonts w:cs="Arial"/>
                <w:color w:val="000000"/>
                <w:sz w:val="24"/>
                <w:szCs w:val="24"/>
              </w:rPr>
              <w:t xml:space="preserve"> Boiler Site</w:t>
            </w:r>
          </w:p>
        </w:tc>
        <w:tc>
          <w:tcPr>
            <w:tcW w:w="1378" w:type="dxa"/>
            <w:tcBorders>
              <w:top w:val="nil"/>
              <w:left w:val="nil"/>
              <w:bottom w:val="nil"/>
              <w:right w:val="nil"/>
            </w:tcBorders>
            <w:shd w:val="clear" w:color="auto" w:fill="auto"/>
            <w:noWrap/>
            <w:hideMark/>
          </w:tcPr>
          <w:p w14:paraId="3CD69288" w14:textId="77777777" w:rsidR="00306862" w:rsidRPr="00306862" w:rsidRDefault="00306862" w:rsidP="00306862">
            <w:pPr>
              <w:jc w:val="center"/>
              <w:rPr>
                <w:rFonts w:cs="Arial"/>
                <w:color w:val="000000"/>
                <w:sz w:val="24"/>
                <w:szCs w:val="24"/>
              </w:rPr>
            </w:pPr>
            <w:r w:rsidRPr="00306862">
              <w:rPr>
                <w:rFonts w:cs="Arial"/>
                <w:color w:val="000000"/>
                <w:sz w:val="24"/>
                <w:szCs w:val="24"/>
              </w:rPr>
              <w:t>600</w:t>
            </w:r>
          </w:p>
        </w:tc>
        <w:tc>
          <w:tcPr>
            <w:tcW w:w="1378" w:type="dxa"/>
            <w:tcBorders>
              <w:top w:val="nil"/>
              <w:left w:val="nil"/>
              <w:bottom w:val="nil"/>
              <w:right w:val="nil"/>
            </w:tcBorders>
            <w:shd w:val="clear" w:color="auto" w:fill="auto"/>
            <w:noWrap/>
            <w:hideMark/>
          </w:tcPr>
          <w:p w14:paraId="0EC03B35"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c>
          <w:tcPr>
            <w:tcW w:w="1378" w:type="dxa"/>
            <w:gridSpan w:val="2"/>
            <w:tcBorders>
              <w:top w:val="nil"/>
              <w:left w:val="nil"/>
              <w:bottom w:val="nil"/>
              <w:right w:val="nil"/>
            </w:tcBorders>
            <w:shd w:val="clear" w:color="auto" w:fill="auto"/>
            <w:noWrap/>
            <w:hideMark/>
          </w:tcPr>
          <w:p w14:paraId="7FAC24E2"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r>
      <w:tr w:rsidR="00306862" w:rsidRPr="00306862" w14:paraId="5800A03F"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2302D2BD" w14:textId="77777777" w:rsidR="00306862" w:rsidRPr="00306862" w:rsidRDefault="00306862" w:rsidP="00306862">
            <w:pPr>
              <w:jc w:val="left"/>
              <w:rPr>
                <w:rFonts w:cs="Arial"/>
                <w:color w:val="000000"/>
                <w:sz w:val="24"/>
                <w:szCs w:val="24"/>
              </w:rPr>
            </w:pPr>
            <w:r w:rsidRPr="00306862">
              <w:rPr>
                <w:rFonts w:cs="Arial"/>
                <w:color w:val="000000"/>
                <w:sz w:val="24"/>
                <w:szCs w:val="24"/>
              </w:rPr>
              <w:t>Jubilee Way South Boiler Site</w:t>
            </w:r>
          </w:p>
        </w:tc>
        <w:tc>
          <w:tcPr>
            <w:tcW w:w="1378" w:type="dxa"/>
            <w:tcBorders>
              <w:top w:val="nil"/>
              <w:left w:val="nil"/>
              <w:bottom w:val="nil"/>
              <w:right w:val="nil"/>
            </w:tcBorders>
            <w:shd w:val="clear" w:color="auto" w:fill="auto"/>
            <w:noWrap/>
            <w:hideMark/>
          </w:tcPr>
          <w:p w14:paraId="3E5B548F" w14:textId="77777777" w:rsidR="00306862" w:rsidRPr="00306862" w:rsidRDefault="00306862" w:rsidP="00306862">
            <w:pPr>
              <w:jc w:val="center"/>
              <w:rPr>
                <w:rFonts w:cs="Arial"/>
                <w:color w:val="000000"/>
                <w:sz w:val="24"/>
                <w:szCs w:val="24"/>
              </w:rPr>
            </w:pPr>
            <w:r w:rsidRPr="00306862">
              <w:rPr>
                <w:rFonts w:cs="Arial"/>
                <w:color w:val="000000"/>
                <w:sz w:val="24"/>
                <w:szCs w:val="24"/>
              </w:rPr>
              <w:t>400</w:t>
            </w:r>
          </w:p>
        </w:tc>
        <w:tc>
          <w:tcPr>
            <w:tcW w:w="1378" w:type="dxa"/>
            <w:tcBorders>
              <w:top w:val="nil"/>
              <w:left w:val="nil"/>
              <w:bottom w:val="nil"/>
              <w:right w:val="nil"/>
            </w:tcBorders>
            <w:shd w:val="clear" w:color="auto" w:fill="auto"/>
            <w:noWrap/>
            <w:hideMark/>
          </w:tcPr>
          <w:p w14:paraId="50C7B8C1"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c>
          <w:tcPr>
            <w:tcW w:w="1378" w:type="dxa"/>
            <w:gridSpan w:val="2"/>
            <w:tcBorders>
              <w:top w:val="nil"/>
              <w:left w:val="nil"/>
              <w:bottom w:val="nil"/>
              <w:right w:val="nil"/>
            </w:tcBorders>
            <w:shd w:val="clear" w:color="auto" w:fill="auto"/>
            <w:noWrap/>
            <w:hideMark/>
          </w:tcPr>
          <w:p w14:paraId="1907B6E8"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r>
      <w:tr w:rsidR="00306862" w:rsidRPr="00306862" w14:paraId="67A9A881"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2B10730B" w14:textId="77777777" w:rsidR="00306862" w:rsidRPr="00306862" w:rsidRDefault="00306862" w:rsidP="00306862">
            <w:pPr>
              <w:jc w:val="left"/>
              <w:rPr>
                <w:rFonts w:cs="Arial"/>
                <w:color w:val="000000"/>
                <w:sz w:val="24"/>
                <w:szCs w:val="24"/>
              </w:rPr>
            </w:pPr>
            <w:r w:rsidRPr="00306862">
              <w:rPr>
                <w:rFonts w:cs="Arial"/>
                <w:color w:val="000000"/>
                <w:sz w:val="24"/>
                <w:szCs w:val="24"/>
              </w:rPr>
              <w:t>Sandy Lane Boiler Site</w:t>
            </w:r>
          </w:p>
        </w:tc>
        <w:tc>
          <w:tcPr>
            <w:tcW w:w="1378" w:type="dxa"/>
            <w:tcBorders>
              <w:top w:val="nil"/>
              <w:left w:val="nil"/>
              <w:bottom w:val="nil"/>
              <w:right w:val="nil"/>
            </w:tcBorders>
            <w:shd w:val="clear" w:color="auto" w:fill="auto"/>
            <w:noWrap/>
            <w:hideMark/>
          </w:tcPr>
          <w:p w14:paraId="311A44E3" w14:textId="77777777" w:rsidR="00306862" w:rsidRPr="00306862" w:rsidRDefault="00306862" w:rsidP="00306862">
            <w:pPr>
              <w:jc w:val="center"/>
              <w:rPr>
                <w:rFonts w:cs="Arial"/>
                <w:color w:val="000000"/>
                <w:sz w:val="24"/>
                <w:szCs w:val="24"/>
              </w:rPr>
            </w:pPr>
            <w:r w:rsidRPr="00306862">
              <w:rPr>
                <w:rFonts w:cs="Arial"/>
                <w:color w:val="000000"/>
                <w:sz w:val="24"/>
                <w:szCs w:val="24"/>
              </w:rPr>
              <w:t>280</w:t>
            </w:r>
          </w:p>
        </w:tc>
        <w:tc>
          <w:tcPr>
            <w:tcW w:w="1378" w:type="dxa"/>
            <w:tcBorders>
              <w:top w:val="nil"/>
              <w:left w:val="nil"/>
              <w:bottom w:val="nil"/>
              <w:right w:val="nil"/>
            </w:tcBorders>
            <w:shd w:val="clear" w:color="auto" w:fill="auto"/>
            <w:noWrap/>
            <w:hideMark/>
          </w:tcPr>
          <w:p w14:paraId="57D194C6"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c>
          <w:tcPr>
            <w:tcW w:w="1378" w:type="dxa"/>
            <w:gridSpan w:val="2"/>
            <w:tcBorders>
              <w:top w:val="nil"/>
              <w:left w:val="nil"/>
              <w:bottom w:val="nil"/>
              <w:right w:val="nil"/>
            </w:tcBorders>
            <w:shd w:val="clear" w:color="auto" w:fill="auto"/>
            <w:noWrap/>
            <w:hideMark/>
          </w:tcPr>
          <w:p w14:paraId="1E4567BE"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r>
      <w:tr w:rsidR="00306862" w:rsidRPr="00306862" w14:paraId="0C4C8A45"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72B25DD0" w14:textId="77777777" w:rsidR="00306862" w:rsidRPr="00306862" w:rsidRDefault="00306862" w:rsidP="00306862">
            <w:pPr>
              <w:jc w:val="left"/>
              <w:rPr>
                <w:rFonts w:cs="Arial"/>
                <w:color w:val="000000"/>
                <w:sz w:val="24"/>
                <w:szCs w:val="24"/>
              </w:rPr>
            </w:pPr>
            <w:proofErr w:type="spellStart"/>
            <w:r w:rsidRPr="00306862">
              <w:rPr>
                <w:rFonts w:cs="Arial"/>
                <w:color w:val="000000"/>
                <w:sz w:val="24"/>
                <w:szCs w:val="24"/>
              </w:rPr>
              <w:t>Shirland</w:t>
            </w:r>
            <w:proofErr w:type="spellEnd"/>
            <w:r w:rsidRPr="00306862">
              <w:rPr>
                <w:rFonts w:cs="Arial"/>
                <w:color w:val="000000"/>
                <w:sz w:val="24"/>
                <w:szCs w:val="24"/>
              </w:rPr>
              <w:t xml:space="preserve"> Drive Boiler Site</w:t>
            </w:r>
          </w:p>
        </w:tc>
        <w:tc>
          <w:tcPr>
            <w:tcW w:w="1378" w:type="dxa"/>
            <w:tcBorders>
              <w:top w:val="nil"/>
              <w:left w:val="nil"/>
              <w:bottom w:val="nil"/>
              <w:right w:val="nil"/>
            </w:tcBorders>
            <w:shd w:val="clear" w:color="auto" w:fill="auto"/>
            <w:noWrap/>
            <w:hideMark/>
          </w:tcPr>
          <w:p w14:paraId="3FC5E58E" w14:textId="77777777" w:rsidR="00306862" w:rsidRPr="00306862" w:rsidRDefault="00306862" w:rsidP="00306862">
            <w:pPr>
              <w:jc w:val="center"/>
              <w:rPr>
                <w:rFonts w:cs="Arial"/>
                <w:color w:val="000000"/>
                <w:sz w:val="24"/>
                <w:szCs w:val="24"/>
              </w:rPr>
            </w:pPr>
            <w:r w:rsidRPr="00306862">
              <w:rPr>
                <w:rFonts w:cs="Arial"/>
                <w:color w:val="000000"/>
                <w:sz w:val="24"/>
                <w:szCs w:val="24"/>
              </w:rPr>
              <w:t>1,800</w:t>
            </w:r>
          </w:p>
        </w:tc>
        <w:tc>
          <w:tcPr>
            <w:tcW w:w="1378" w:type="dxa"/>
            <w:tcBorders>
              <w:top w:val="nil"/>
              <w:left w:val="nil"/>
              <w:bottom w:val="nil"/>
              <w:right w:val="nil"/>
            </w:tcBorders>
            <w:shd w:val="clear" w:color="auto" w:fill="auto"/>
            <w:noWrap/>
            <w:hideMark/>
          </w:tcPr>
          <w:p w14:paraId="26044F21"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c>
          <w:tcPr>
            <w:tcW w:w="1378" w:type="dxa"/>
            <w:gridSpan w:val="2"/>
            <w:tcBorders>
              <w:top w:val="nil"/>
              <w:left w:val="nil"/>
              <w:bottom w:val="nil"/>
              <w:right w:val="nil"/>
            </w:tcBorders>
            <w:shd w:val="clear" w:color="auto" w:fill="auto"/>
            <w:noWrap/>
            <w:hideMark/>
          </w:tcPr>
          <w:p w14:paraId="0E5C76F7"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r>
      <w:tr w:rsidR="00306862" w:rsidRPr="00306862" w14:paraId="00D22492"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6F6136CE" w14:textId="77777777" w:rsidR="00306862" w:rsidRPr="00306862" w:rsidRDefault="00306862" w:rsidP="00306862">
            <w:pPr>
              <w:jc w:val="left"/>
              <w:rPr>
                <w:rFonts w:cs="Arial"/>
                <w:color w:val="000000"/>
                <w:sz w:val="24"/>
                <w:szCs w:val="24"/>
              </w:rPr>
            </w:pPr>
            <w:r w:rsidRPr="00306862">
              <w:rPr>
                <w:rFonts w:cs="Arial"/>
                <w:color w:val="000000"/>
                <w:sz w:val="24"/>
                <w:szCs w:val="24"/>
              </w:rPr>
              <w:t>Willows Boiler Site</w:t>
            </w:r>
          </w:p>
        </w:tc>
        <w:tc>
          <w:tcPr>
            <w:tcW w:w="1378" w:type="dxa"/>
            <w:tcBorders>
              <w:top w:val="nil"/>
              <w:left w:val="nil"/>
              <w:bottom w:val="nil"/>
              <w:right w:val="nil"/>
            </w:tcBorders>
            <w:shd w:val="clear" w:color="auto" w:fill="auto"/>
            <w:noWrap/>
            <w:hideMark/>
          </w:tcPr>
          <w:p w14:paraId="7F807072"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c>
          <w:tcPr>
            <w:tcW w:w="1378" w:type="dxa"/>
            <w:tcBorders>
              <w:top w:val="nil"/>
              <w:left w:val="nil"/>
              <w:bottom w:val="nil"/>
              <w:right w:val="nil"/>
            </w:tcBorders>
            <w:shd w:val="clear" w:color="auto" w:fill="auto"/>
            <w:noWrap/>
            <w:hideMark/>
          </w:tcPr>
          <w:p w14:paraId="7D66D01A" w14:textId="77777777" w:rsidR="00306862" w:rsidRPr="00306862" w:rsidRDefault="00306862" w:rsidP="00306862">
            <w:pPr>
              <w:jc w:val="center"/>
              <w:rPr>
                <w:rFonts w:cs="Arial"/>
                <w:color w:val="000000"/>
                <w:sz w:val="24"/>
                <w:szCs w:val="24"/>
              </w:rPr>
            </w:pPr>
            <w:r w:rsidRPr="00306862">
              <w:rPr>
                <w:rFonts w:cs="Arial"/>
                <w:color w:val="000000"/>
                <w:sz w:val="24"/>
                <w:szCs w:val="24"/>
              </w:rPr>
              <w:t>280</w:t>
            </w:r>
          </w:p>
        </w:tc>
        <w:tc>
          <w:tcPr>
            <w:tcW w:w="1378" w:type="dxa"/>
            <w:gridSpan w:val="2"/>
            <w:tcBorders>
              <w:top w:val="nil"/>
              <w:left w:val="nil"/>
              <w:bottom w:val="nil"/>
              <w:right w:val="nil"/>
            </w:tcBorders>
            <w:shd w:val="clear" w:color="auto" w:fill="auto"/>
            <w:noWrap/>
            <w:hideMark/>
          </w:tcPr>
          <w:p w14:paraId="6C4A7E0A"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r>
      <w:tr w:rsidR="00306862" w:rsidRPr="00306862" w14:paraId="6D427F2E"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18D1ADEA" w14:textId="77777777" w:rsidR="00306862" w:rsidRPr="00306862" w:rsidRDefault="00306862" w:rsidP="00306862">
            <w:pPr>
              <w:jc w:val="left"/>
              <w:rPr>
                <w:rFonts w:cs="Arial"/>
                <w:color w:val="000000"/>
                <w:sz w:val="24"/>
                <w:szCs w:val="24"/>
              </w:rPr>
            </w:pPr>
            <w:proofErr w:type="spellStart"/>
            <w:r w:rsidRPr="00306862">
              <w:rPr>
                <w:rFonts w:cs="Arial"/>
                <w:color w:val="000000"/>
                <w:sz w:val="24"/>
                <w:szCs w:val="24"/>
              </w:rPr>
              <w:t>Hathersage</w:t>
            </w:r>
            <w:proofErr w:type="spellEnd"/>
            <w:r w:rsidRPr="00306862">
              <w:rPr>
                <w:rFonts w:cs="Arial"/>
                <w:color w:val="000000"/>
                <w:sz w:val="24"/>
                <w:szCs w:val="24"/>
              </w:rPr>
              <w:t xml:space="preserve"> Walk</w:t>
            </w:r>
          </w:p>
        </w:tc>
        <w:tc>
          <w:tcPr>
            <w:tcW w:w="1378" w:type="dxa"/>
            <w:tcBorders>
              <w:top w:val="nil"/>
              <w:left w:val="nil"/>
              <w:bottom w:val="nil"/>
              <w:right w:val="nil"/>
            </w:tcBorders>
            <w:shd w:val="clear" w:color="auto" w:fill="auto"/>
            <w:noWrap/>
            <w:hideMark/>
          </w:tcPr>
          <w:p w14:paraId="3F099851" w14:textId="77777777" w:rsidR="00306862" w:rsidRPr="00306862" w:rsidRDefault="00306862" w:rsidP="00306862">
            <w:pPr>
              <w:jc w:val="center"/>
              <w:rPr>
                <w:rFonts w:cs="Arial"/>
                <w:color w:val="000000"/>
                <w:sz w:val="24"/>
                <w:szCs w:val="24"/>
              </w:rPr>
            </w:pPr>
            <w:r w:rsidRPr="00306862">
              <w:rPr>
                <w:rFonts w:cs="Arial"/>
                <w:color w:val="000000"/>
                <w:sz w:val="24"/>
                <w:szCs w:val="24"/>
              </w:rPr>
              <w:t>400</w:t>
            </w:r>
          </w:p>
        </w:tc>
        <w:tc>
          <w:tcPr>
            <w:tcW w:w="1378" w:type="dxa"/>
            <w:tcBorders>
              <w:top w:val="nil"/>
              <w:left w:val="nil"/>
              <w:bottom w:val="nil"/>
              <w:right w:val="nil"/>
            </w:tcBorders>
            <w:shd w:val="clear" w:color="auto" w:fill="auto"/>
            <w:noWrap/>
            <w:hideMark/>
          </w:tcPr>
          <w:p w14:paraId="6E252424"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c>
          <w:tcPr>
            <w:tcW w:w="1378" w:type="dxa"/>
            <w:gridSpan w:val="2"/>
            <w:tcBorders>
              <w:top w:val="nil"/>
              <w:left w:val="nil"/>
              <w:bottom w:val="nil"/>
              <w:right w:val="nil"/>
            </w:tcBorders>
            <w:shd w:val="clear" w:color="auto" w:fill="auto"/>
            <w:noWrap/>
            <w:hideMark/>
          </w:tcPr>
          <w:p w14:paraId="21E870F7"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r>
      <w:tr w:rsidR="00306862" w:rsidRPr="00306862" w14:paraId="6912AF89"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2B16048B" w14:textId="77777777" w:rsidR="00306862" w:rsidRPr="00306862" w:rsidRDefault="00306862" w:rsidP="00306862">
            <w:pPr>
              <w:jc w:val="left"/>
              <w:rPr>
                <w:rFonts w:cs="Arial"/>
                <w:color w:val="000000"/>
                <w:sz w:val="24"/>
                <w:szCs w:val="24"/>
              </w:rPr>
            </w:pPr>
            <w:r w:rsidRPr="00306862">
              <w:rPr>
                <w:rFonts w:cs="Arial"/>
                <w:color w:val="000000"/>
                <w:sz w:val="24"/>
                <w:szCs w:val="24"/>
              </w:rPr>
              <w:t>Manor Road</w:t>
            </w:r>
          </w:p>
        </w:tc>
        <w:tc>
          <w:tcPr>
            <w:tcW w:w="1378" w:type="dxa"/>
            <w:tcBorders>
              <w:top w:val="nil"/>
              <w:left w:val="nil"/>
              <w:bottom w:val="nil"/>
              <w:right w:val="nil"/>
            </w:tcBorders>
            <w:shd w:val="clear" w:color="auto" w:fill="auto"/>
            <w:noWrap/>
            <w:hideMark/>
          </w:tcPr>
          <w:p w14:paraId="06B913A7"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c>
          <w:tcPr>
            <w:tcW w:w="1378" w:type="dxa"/>
            <w:tcBorders>
              <w:top w:val="nil"/>
              <w:left w:val="nil"/>
              <w:bottom w:val="nil"/>
              <w:right w:val="nil"/>
            </w:tcBorders>
            <w:shd w:val="clear" w:color="auto" w:fill="auto"/>
            <w:noWrap/>
            <w:hideMark/>
          </w:tcPr>
          <w:p w14:paraId="0533A844" w14:textId="77777777" w:rsidR="00306862" w:rsidRPr="00306862" w:rsidRDefault="00306862" w:rsidP="00306862">
            <w:pPr>
              <w:jc w:val="center"/>
              <w:rPr>
                <w:rFonts w:cs="Arial"/>
                <w:color w:val="000000"/>
                <w:sz w:val="24"/>
                <w:szCs w:val="24"/>
              </w:rPr>
            </w:pPr>
            <w:r w:rsidRPr="00306862">
              <w:rPr>
                <w:rFonts w:cs="Arial"/>
                <w:color w:val="000000"/>
                <w:sz w:val="24"/>
                <w:szCs w:val="24"/>
              </w:rPr>
              <w:t>1,400</w:t>
            </w:r>
          </w:p>
        </w:tc>
        <w:tc>
          <w:tcPr>
            <w:tcW w:w="1378" w:type="dxa"/>
            <w:gridSpan w:val="2"/>
            <w:tcBorders>
              <w:top w:val="nil"/>
              <w:left w:val="nil"/>
              <w:bottom w:val="nil"/>
              <w:right w:val="nil"/>
            </w:tcBorders>
            <w:shd w:val="clear" w:color="auto" w:fill="auto"/>
            <w:noWrap/>
            <w:hideMark/>
          </w:tcPr>
          <w:p w14:paraId="29CAEDD4"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r>
      <w:tr w:rsidR="00306862" w:rsidRPr="00306862" w14:paraId="1037FC24"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0CE50C97" w14:textId="77777777" w:rsidR="00306862" w:rsidRPr="00306862" w:rsidRDefault="00306862" w:rsidP="00306862">
            <w:pPr>
              <w:jc w:val="left"/>
              <w:rPr>
                <w:rFonts w:cs="Arial"/>
                <w:color w:val="000000"/>
                <w:sz w:val="24"/>
                <w:szCs w:val="24"/>
              </w:rPr>
            </w:pPr>
            <w:r w:rsidRPr="00306862">
              <w:rPr>
                <w:rFonts w:cs="Arial"/>
                <w:color w:val="000000"/>
                <w:sz w:val="24"/>
                <w:szCs w:val="24"/>
              </w:rPr>
              <w:t>Town Centre and other development</w:t>
            </w:r>
          </w:p>
        </w:tc>
        <w:tc>
          <w:tcPr>
            <w:tcW w:w="1378" w:type="dxa"/>
            <w:tcBorders>
              <w:top w:val="nil"/>
              <w:left w:val="nil"/>
              <w:bottom w:val="nil"/>
              <w:right w:val="nil"/>
            </w:tcBorders>
            <w:shd w:val="clear" w:color="auto" w:fill="auto"/>
            <w:noWrap/>
            <w:hideMark/>
          </w:tcPr>
          <w:p w14:paraId="4A20ACF6" w14:textId="77777777" w:rsidR="00306862" w:rsidRPr="00306862" w:rsidRDefault="00306862" w:rsidP="00306862">
            <w:pPr>
              <w:jc w:val="center"/>
              <w:rPr>
                <w:rFonts w:cs="Arial"/>
                <w:color w:val="000000"/>
                <w:sz w:val="24"/>
                <w:szCs w:val="24"/>
              </w:rPr>
            </w:pPr>
            <w:r w:rsidRPr="00306862">
              <w:rPr>
                <w:rFonts w:cs="Arial"/>
                <w:color w:val="000000"/>
                <w:sz w:val="24"/>
                <w:szCs w:val="24"/>
              </w:rPr>
              <w:t>7,500</w:t>
            </w:r>
          </w:p>
        </w:tc>
        <w:tc>
          <w:tcPr>
            <w:tcW w:w="1378" w:type="dxa"/>
            <w:tcBorders>
              <w:top w:val="nil"/>
              <w:left w:val="nil"/>
              <w:bottom w:val="nil"/>
              <w:right w:val="nil"/>
            </w:tcBorders>
            <w:shd w:val="clear" w:color="auto" w:fill="auto"/>
            <w:noWrap/>
            <w:hideMark/>
          </w:tcPr>
          <w:p w14:paraId="6298245E" w14:textId="77777777" w:rsidR="00306862" w:rsidRPr="00306862" w:rsidRDefault="00306862" w:rsidP="00306862">
            <w:pPr>
              <w:jc w:val="center"/>
              <w:rPr>
                <w:rFonts w:cs="Arial"/>
                <w:color w:val="000000"/>
                <w:sz w:val="24"/>
                <w:szCs w:val="24"/>
              </w:rPr>
            </w:pPr>
            <w:r w:rsidRPr="00306862">
              <w:rPr>
                <w:rFonts w:cs="Arial"/>
                <w:color w:val="000000"/>
                <w:sz w:val="24"/>
                <w:szCs w:val="24"/>
              </w:rPr>
              <w:t>6,000</w:t>
            </w:r>
          </w:p>
        </w:tc>
        <w:tc>
          <w:tcPr>
            <w:tcW w:w="1378" w:type="dxa"/>
            <w:gridSpan w:val="2"/>
            <w:tcBorders>
              <w:top w:val="nil"/>
              <w:left w:val="nil"/>
              <w:bottom w:val="nil"/>
              <w:right w:val="nil"/>
            </w:tcBorders>
            <w:shd w:val="clear" w:color="auto" w:fill="auto"/>
            <w:noWrap/>
            <w:hideMark/>
          </w:tcPr>
          <w:p w14:paraId="01B82389" w14:textId="77777777" w:rsidR="00306862" w:rsidRPr="00306862" w:rsidRDefault="00306862" w:rsidP="00306862">
            <w:pPr>
              <w:jc w:val="center"/>
              <w:rPr>
                <w:rFonts w:cs="Arial"/>
                <w:color w:val="000000"/>
                <w:sz w:val="24"/>
                <w:szCs w:val="24"/>
              </w:rPr>
            </w:pPr>
            <w:r w:rsidRPr="00306862">
              <w:rPr>
                <w:rFonts w:cs="Arial"/>
                <w:color w:val="000000"/>
                <w:sz w:val="24"/>
                <w:szCs w:val="24"/>
              </w:rPr>
              <w:t>0</w:t>
            </w:r>
          </w:p>
        </w:tc>
      </w:tr>
      <w:tr w:rsidR="00306862" w:rsidRPr="00306862" w14:paraId="661E2B3A"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4ED09B7D" w14:textId="77777777" w:rsidR="00306862" w:rsidRPr="00306862" w:rsidRDefault="00306862" w:rsidP="00306862">
            <w:pPr>
              <w:jc w:val="left"/>
              <w:rPr>
                <w:rFonts w:cs="Arial"/>
                <w:b/>
                <w:bCs/>
                <w:color w:val="000000"/>
                <w:sz w:val="24"/>
                <w:szCs w:val="24"/>
              </w:rPr>
            </w:pPr>
            <w:r w:rsidRPr="00306862">
              <w:rPr>
                <w:rFonts w:cs="Arial"/>
                <w:b/>
                <w:bCs/>
                <w:color w:val="000000"/>
                <w:sz w:val="24"/>
                <w:szCs w:val="24"/>
              </w:rPr>
              <w:t>Total Housing New Build Schemes</w:t>
            </w:r>
          </w:p>
        </w:tc>
        <w:tc>
          <w:tcPr>
            <w:tcW w:w="1378" w:type="dxa"/>
            <w:tcBorders>
              <w:top w:val="single" w:sz="4" w:space="0" w:color="auto"/>
              <w:left w:val="nil"/>
              <w:bottom w:val="nil"/>
              <w:right w:val="nil"/>
            </w:tcBorders>
            <w:shd w:val="clear" w:color="auto" w:fill="auto"/>
            <w:noWrap/>
            <w:hideMark/>
          </w:tcPr>
          <w:p w14:paraId="33E9F3E9" w14:textId="77777777" w:rsidR="00306862" w:rsidRPr="00306862" w:rsidRDefault="00306862" w:rsidP="00306862">
            <w:pPr>
              <w:jc w:val="center"/>
              <w:rPr>
                <w:rFonts w:cs="Arial"/>
                <w:b/>
                <w:bCs/>
                <w:color w:val="000000"/>
                <w:sz w:val="24"/>
                <w:szCs w:val="24"/>
              </w:rPr>
            </w:pPr>
            <w:r w:rsidRPr="00306862">
              <w:rPr>
                <w:rFonts w:cs="Arial"/>
                <w:b/>
                <w:bCs/>
                <w:color w:val="000000"/>
                <w:sz w:val="24"/>
                <w:szCs w:val="24"/>
              </w:rPr>
              <w:t>35,116</w:t>
            </w:r>
          </w:p>
        </w:tc>
        <w:tc>
          <w:tcPr>
            <w:tcW w:w="1378" w:type="dxa"/>
            <w:tcBorders>
              <w:top w:val="single" w:sz="4" w:space="0" w:color="auto"/>
              <w:left w:val="nil"/>
              <w:bottom w:val="nil"/>
              <w:right w:val="nil"/>
            </w:tcBorders>
            <w:shd w:val="clear" w:color="auto" w:fill="auto"/>
            <w:noWrap/>
            <w:hideMark/>
          </w:tcPr>
          <w:p w14:paraId="313F01E5" w14:textId="77777777" w:rsidR="00306862" w:rsidRPr="00306862" w:rsidRDefault="00306862" w:rsidP="00306862">
            <w:pPr>
              <w:jc w:val="center"/>
              <w:rPr>
                <w:rFonts w:cs="Arial"/>
                <w:b/>
                <w:bCs/>
                <w:color w:val="000000"/>
                <w:sz w:val="24"/>
                <w:szCs w:val="24"/>
              </w:rPr>
            </w:pPr>
            <w:r w:rsidRPr="00306862">
              <w:rPr>
                <w:rFonts w:cs="Arial"/>
                <w:b/>
                <w:bCs/>
                <w:color w:val="000000"/>
                <w:sz w:val="24"/>
                <w:szCs w:val="24"/>
              </w:rPr>
              <w:t>11,417</w:t>
            </w:r>
          </w:p>
        </w:tc>
        <w:tc>
          <w:tcPr>
            <w:tcW w:w="1378" w:type="dxa"/>
            <w:gridSpan w:val="2"/>
            <w:tcBorders>
              <w:top w:val="single" w:sz="4" w:space="0" w:color="auto"/>
              <w:left w:val="nil"/>
              <w:bottom w:val="nil"/>
              <w:right w:val="nil"/>
            </w:tcBorders>
            <w:shd w:val="clear" w:color="auto" w:fill="auto"/>
            <w:noWrap/>
            <w:hideMark/>
          </w:tcPr>
          <w:p w14:paraId="59387645" w14:textId="77777777" w:rsidR="00306862" w:rsidRPr="00306862" w:rsidRDefault="00306862" w:rsidP="00306862">
            <w:pPr>
              <w:jc w:val="center"/>
              <w:rPr>
                <w:rFonts w:cs="Arial"/>
                <w:b/>
                <w:bCs/>
                <w:color w:val="000000"/>
                <w:sz w:val="24"/>
                <w:szCs w:val="24"/>
              </w:rPr>
            </w:pPr>
            <w:r w:rsidRPr="00306862">
              <w:rPr>
                <w:rFonts w:cs="Arial"/>
                <w:b/>
                <w:bCs/>
                <w:color w:val="000000"/>
                <w:sz w:val="24"/>
                <w:szCs w:val="24"/>
              </w:rPr>
              <w:t>0</w:t>
            </w:r>
          </w:p>
        </w:tc>
      </w:tr>
      <w:tr w:rsidR="00306862" w:rsidRPr="00306862" w14:paraId="6AD0EC6B" w14:textId="77777777" w:rsidTr="00306862">
        <w:trPr>
          <w:gridAfter w:val="2"/>
          <w:wAfter w:w="3630" w:type="dxa"/>
          <w:trHeight w:val="312"/>
        </w:trPr>
        <w:tc>
          <w:tcPr>
            <w:tcW w:w="4536" w:type="dxa"/>
            <w:tcBorders>
              <w:top w:val="nil"/>
              <w:left w:val="nil"/>
              <w:bottom w:val="nil"/>
              <w:right w:val="nil"/>
            </w:tcBorders>
            <w:shd w:val="clear" w:color="auto" w:fill="auto"/>
            <w:noWrap/>
            <w:vAlign w:val="bottom"/>
            <w:hideMark/>
          </w:tcPr>
          <w:p w14:paraId="2E6D3B12" w14:textId="77777777" w:rsidR="00306862" w:rsidRPr="00306862" w:rsidRDefault="00306862" w:rsidP="00306862">
            <w:pPr>
              <w:jc w:val="center"/>
              <w:rPr>
                <w:rFonts w:cs="Arial"/>
                <w:b/>
                <w:bCs/>
                <w:color w:val="000000"/>
                <w:sz w:val="24"/>
                <w:szCs w:val="24"/>
              </w:rPr>
            </w:pPr>
          </w:p>
        </w:tc>
        <w:tc>
          <w:tcPr>
            <w:tcW w:w="1378" w:type="dxa"/>
            <w:tcBorders>
              <w:top w:val="nil"/>
              <w:left w:val="nil"/>
              <w:bottom w:val="nil"/>
              <w:right w:val="nil"/>
            </w:tcBorders>
            <w:shd w:val="clear" w:color="auto" w:fill="auto"/>
            <w:noWrap/>
            <w:hideMark/>
          </w:tcPr>
          <w:p w14:paraId="2F7FE3B4" w14:textId="77777777" w:rsidR="00306862" w:rsidRPr="00306862" w:rsidRDefault="00306862" w:rsidP="00306862">
            <w:pPr>
              <w:jc w:val="left"/>
              <w:rPr>
                <w:rFonts w:ascii="Times New Roman" w:hAnsi="Times New Roman"/>
                <w:sz w:val="20"/>
                <w:szCs w:val="20"/>
              </w:rPr>
            </w:pPr>
          </w:p>
        </w:tc>
        <w:tc>
          <w:tcPr>
            <w:tcW w:w="1378" w:type="dxa"/>
            <w:tcBorders>
              <w:top w:val="nil"/>
              <w:left w:val="nil"/>
              <w:bottom w:val="nil"/>
              <w:right w:val="nil"/>
            </w:tcBorders>
            <w:shd w:val="clear" w:color="auto" w:fill="auto"/>
            <w:noWrap/>
            <w:hideMark/>
          </w:tcPr>
          <w:p w14:paraId="584F32C7" w14:textId="77777777" w:rsidR="00306862" w:rsidRPr="00306862" w:rsidRDefault="00306862" w:rsidP="00306862">
            <w:pPr>
              <w:jc w:val="center"/>
              <w:rPr>
                <w:rFonts w:ascii="Times New Roman" w:hAnsi="Times New Roman"/>
                <w:sz w:val="20"/>
                <w:szCs w:val="20"/>
              </w:rPr>
            </w:pPr>
          </w:p>
        </w:tc>
        <w:tc>
          <w:tcPr>
            <w:tcW w:w="1378" w:type="dxa"/>
            <w:gridSpan w:val="2"/>
            <w:tcBorders>
              <w:top w:val="nil"/>
              <w:left w:val="nil"/>
              <w:bottom w:val="nil"/>
              <w:right w:val="nil"/>
            </w:tcBorders>
            <w:shd w:val="clear" w:color="auto" w:fill="auto"/>
            <w:noWrap/>
            <w:hideMark/>
          </w:tcPr>
          <w:p w14:paraId="715BD395" w14:textId="77777777" w:rsidR="00306862" w:rsidRPr="00306862" w:rsidRDefault="00306862" w:rsidP="00306862">
            <w:pPr>
              <w:jc w:val="center"/>
              <w:rPr>
                <w:rFonts w:ascii="Times New Roman" w:hAnsi="Times New Roman"/>
                <w:sz w:val="20"/>
                <w:szCs w:val="20"/>
              </w:rPr>
            </w:pPr>
          </w:p>
        </w:tc>
      </w:tr>
      <w:tr w:rsidR="00306862" w:rsidRPr="00306862" w14:paraId="4C44A647" w14:textId="77777777" w:rsidTr="00306862">
        <w:trPr>
          <w:gridAfter w:val="2"/>
          <w:wAfter w:w="3630" w:type="dxa"/>
          <w:trHeight w:val="312"/>
        </w:trPr>
        <w:tc>
          <w:tcPr>
            <w:tcW w:w="4536" w:type="dxa"/>
            <w:tcBorders>
              <w:top w:val="nil"/>
              <w:left w:val="nil"/>
              <w:bottom w:val="nil"/>
              <w:right w:val="nil"/>
            </w:tcBorders>
            <w:shd w:val="clear" w:color="auto" w:fill="auto"/>
            <w:vAlign w:val="bottom"/>
            <w:hideMark/>
          </w:tcPr>
          <w:p w14:paraId="6C0AB749" w14:textId="77777777" w:rsidR="00306862" w:rsidRPr="00306862" w:rsidRDefault="00306862" w:rsidP="00306862">
            <w:pPr>
              <w:jc w:val="left"/>
              <w:rPr>
                <w:rFonts w:cs="Arial"/>
                <w:b/>
                <w:bCs/>
                <w:color w:val="000000"/>
                <w:sz w:val="24"/>
                <w:szCs w:val="24"/>
              </w:rPr>
            </w:pPr>
            <w:r w:rsidRPr="00306862">
              <w:rPr>
                <w:rFonts w:cs="Arial"/>
                <w:b/>
                <w:bCs/>
                <w:color w:val="000000"/>
                <w:sz w:val="24"/>
                <w:szCs w:val="24"/>
              </w:rPr>
              <w:t>Total Housing Revenue Account</w:t>
            </w:r>
          </w:p>
        </w:tc>
        <w:tc>
          <w:tcPr>
            <w:tcW w:w="1378" w:type="dxa"/>
            <w:tcBorders>
              <w:top w:val="single" w:sz="4" w:space="0" w:color="auto"/>
              <w:left w:val="nil"/>
              <w:bottom w:val="nil"/>
              <w:right w:val="nil"/>
            </w:tcBorders>
            <w:shd w:val="clear" w:color="auto" w:fill="auto"/>
            <w:noWrap/>
            <w:hideMark/>
          </w:tcPr>
          <w:p w14:paraId="72265371" w14:textId="77777777" w:rsidR="00306862" w:rsidRPr="00306862" w:rsidRDefault="00306862" w:rsidP="00306862">
            <w:pPr>
              <w:jc w:val="center"/>
              <w:rPr>
                <w:rFonts w:cs="Arial"/>
                <w:b/>
                <w:bCs/>
                <w:color w:val="000000"/>
                <w:sz w:val="24"/>
                <w:szCs w:val="24"/>
              </w:rPr>
            </w:pPr>
            <w:r w:rsidRPr="00306862">
              <w:rPr>
                <w:rFonts w:cs="Arial"/>
                <w:b/>
                <w:bCs/>
                <w:color w:val="000000"/>
                <w:sz w:val="24"/>
                <w:szCs w:val="24"/>
              </w:rPr>
              <w:t>41,733</w:t>
            </w:r>
          </w:p>
        </w:tc>
        <w:tc>
          <w:tcPr>
            <w:tcW w:w="1378" w:type="dxa"/>
            <w:tcBorders>
              <w:top w:val="single" w:sz="4" w:space="0" w:color="auto"/>
              <w:left w:val="nil"/>
              <w:bottom w:val="nil"/>
              <w:right w:val="nil"/>
            </w:tcBorders>
            <w:shd w:val="clear" w:color="auto" w:fill="auto"/>
            <w:noWrap/>
            <w:hideMark/>
          </w:tcPr>
          <w:p w14:paraId="435C13DB" w14:textId="77777777" w:rsidR="00306862" w:rsidRPr="00306862" w:rsidRDefault="00306862" w:rsidP="00306862">
            <w:pPr>
              <w:jc w:val="center"/>
              <w:rPr>
                <w:rFonts w:cs="Arial"/>
                <w:b/>
                <w:bCs/>
                <w:color w:val="000000"/>
                <w:sz w:val="24"/>
                <w:szCs w:val="24"/>
              </w:rPr>
            </w:pPr>
            <w:r w:rsidRPr="00306862">
              <w:rPr>
                <w:rFonts w:cs="Arial"/>
                <w:b/>
                <w:bCs/>
                <w:color w:val="000000"/>
                <w:sz w:val="24"/>
                <w:szCs w:val="24"/>
              </w:rPr>
              <w:t>15,607</w:t>
            </w:r>
          </w:p>
        </w:tc>
        <w:tc>
          <w:tcPr>
            <w:tcW w:w="1378" w:type="dxa"/>
            <w:gridSpan w:val="2"/>
            <w:tcBorders>
              <w:top w:val="single" w:sz="4" w:space="0" w:color="auto"/>
              <w:left w:val="nil"/>
              <w:bottom w:val="nil"/>
              <w:right w:val="nil"/>
            </w:tcBorders>
            <w:shd w:val="clear" w:color="auto" w:fill="auto"/>
            <w:noWrap/>
            <w:hideMark/>
          </w:tcPr>
          <w:p w14:paraId="3E729180" w14:textId="77777777" w:rsidR="00306862" w:rsidRPr="00306862" w:rsidRDefault="00306862" w:rsidP="00306862">
            <w:pPr>
              <w:jc w:val="center"/>
              <w:rPr>
                <w:rFonts w:cs="Arial"/>
                <w:b/>
                <w:bCs/>
                <w:color w:val="000000"/>
                <w:sz w:val="24"/>
                <w:szCs w:val="24"/>
              </w:rPr>
            </w:pPr>
            <w:r w:rsidRPr="00306862">
              <w:rPr>
                <w:rFonts w:cs="Arial"/>
                <w:b/>
                <w:bCs/>
                <w:color w:val="000000"/>
                <w:sz w:val="24"/>
                <w:szCs w:val="24"/>
              </w:rPr>
              <w:t>4,190</w:t>
            </w:r>
          </w:p>
        </w:tc>
      </w:tr>
    </w:tbl>
    <w:p w14:paraId="53A9BEF5" w14:textId="54B41289" w:rsidR="00F150DB" w:rsidRDefault="00F150DB" w:rsidP="00276E31">
      <w:pPr>
        <w:rPr>
          <w:rFonts w:cs="Arial"/>
          <w:sz w:val="24"/>
          <w:szCs w:val="24"/>
        </w:rPr>
      </w:pPr>
    </w:p>
    <w:p w14:paraId="2F2B4559" w14:textId="306702C3" w:rsidR="00AB5B59" w:rsidRDefault="0095243C">
      <w:pPr>
        <w:jc w:val="left"/>
        <w:rPr>
          <w:rFonts w:cs="Arial"/>
          <w:sz w:val="24"/>
          <w:szCs w:val="24"/>
        </w:rPr>
      </w:pPr>
      <w:r>
        <w:rPr>
          <w:rFonts w:cs="Arial"/>
          <w:sz w:val="24"/>
          <w:szCs w:val="24"/>
        </w:rPr>
        <w:br w:type="page"/>
      </w:r>
    </w:p>
    <w:p w14:paraId="0BECF859" w14:textId="0A1AE9B2" w:rsidR="0095243C" w:rsidRPr="00692568" w:rsidRDefault="00EB431C" w:rsidP="00276E31">
      <w:pPr>
        <w:rPr>
          <w:rFonts w:cs="Arial"/>
          <w:b/>
          <w:sz w:val="32"/>
          <w:szCs w:val="32"/>
        </w:rPr>
      </w:pPr>
      <w:r>
        <w:rPr>
          <w:rFonts w:cs="Arial"/>
          <w:b/>
          <w:sz w:val="32"/>
          <w:szCs w:val="32"/>
        </w:rPr>
        <w:lastRenderedPageBreak/>
        <w:t>Appendix 6</w:t>
      </w:r>
    </w:p>
    <w:p w14:paraId="18B6A923" w14:textId="77777777" w:rsidR="00692568" w:rsidRDefault="00692568" w:rsidP="00276E31">
      <w:pPr>
        <w:rPr>
          <w:rFonts w:cs="Arial"/>
          <w:sz w:val="24"/>
          <w:szCs w:val="24"/>
        </w:rPr>
      </w:pPr>
    </w:p>
    <w:p w14:paraId="39687A8A" w14:textId="77777777" w:rsidR="00692568" w:rsidRPr="00656AD3" w:rsidRDefault="00692568" w:rsidP="00692568">
      <w:pPr>
        <w:ind w:left="720" w:hanging="720"/>
        <w:rPr>
          <w:rFonts w:cs="Arial"/>
          <w:b/>
          <w:sz w:val="24"/>
          <w:szCs w:val="24"/>
        </w:rPr>
      </w:pPr>
      <w:r w:rsidRPr="00656AD3">
        <w:rPr>
          <w:rFonts w:cs="Arial"/>
          <w:b/>
          <w:sz w:val="24"/>
          <w:szCs w:val="24"/>
        </w:rPr>
        <w:t>Review of Unallocated General Fund Balances</w:t>
      </w:r>
    </w:p>
    <w:p w14:paraId="7831E31C" w14:textId="77777777" w:rsidR="00692568" w:rsidRPr="00656AD3" w:rsidRDefault="00692568" w:rsidP="00692568">
      <w:pPr>
        <w:ind w:left="720" w:hanging="720"/>
        <w:rPr>
          <w:rFonts w:cs="Arial"/>
          <w:b/>
          <w:sz w:val="24"/>
          <w:szCs w:val="24"/>
          <w:u w:val="singl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843"/>
        <w:gridCol w:w="1215"/>
        <w:gridCol w:w="911"/>
        <w:gridCol w:w="1134"/>
        <w:gridCol w:w="1468"/>
      </w:tblGrid>
      <w:tr w:rsidR="00692568" w:rsidRPr="00656AD3" w14:paraId="2025755C" w14:textId="77777777" w:rsidTr="00AB5B59">
        <w:tc>
          <w:tcPr>
            <w:tcW w:w="1951" w:type="dxa"/>
            <w:shd w:val="clear" w:color="auto" w:fill="auto"/>
          </w:tcPr>
          <w:p w14:paraId="2CE2A75A" w14:textId="77777777" w:rsidR="00692568" w:rsidRPr="00C91B0E" w:rsidRDefault="00692568" w:rsidP="00AB5B59">
            <w:pPr>
              <w:rPr>
                <w:rFonts w:cs="Arial"/>
              </w:rPr>
            </w:pPr>
            <w:r w:rsidRPr="00C91B0E">
              <w:rPr>
                <w:rFonts w:cs="Arial"/>
              </w:rPr>
              <w:t>Risk</w:t>
            </w:r>
          </w:p>
        </w:tc>
        <w:tc>
          <w:tcPr>
            <w:tcW w:w="1843" w:type="dxa"/>
            <w:shd w:val="clear" w:color="auto" w:fill="auto"/>
          </w:tcPr>
          <w:p w14:paraId="0E3AFD0B" w14:textId="77777777" w:rsidR="00692568" w:rsidRPr="00C91B0E" w:rsidRDefault="00692568" w:rsidP="00AB5B59">
            <w:pPr>
              <w:jc w:val="left"/>
              <w:rPr>
                <w:rFonts w:cs="Arial"/>
              </w:rPr>
            </w:pPr>
            <w:r w:rsidRPr="00C91B0E">
              <w:rPr>
                <w:rFonts w:cs="Arial"/>
              </w:rPr>
              <w:t>Mitigation in Strategy</w:t>
            </w:r>
          </w:p>
        </w:tc>
        <w:tc>
          <w:tcPr>
            <w:tcW w:w="1215" w:type="dxa"/>
            <w:shd w:val="clear" w:color="auto" w:fill="auto"/>
          </w:tcPr>
          <w:p w14:paraId="080A3E34" w14:textId="77777777" w:rsidR="00692568" w:rsidRPr="00C91B0E" w:rsidRDefault="00692568" w:rsidP="00AB5B59">
            <w:pPr>
              <w:rPr>
                <w:rFonts w:cs="Arial"/>
              </w:rPr>
            </w:pPr>
            <w:r w:rsidRPr="00C91B0E">
              <w:rPr>
                <w:rFonts w:cs="Arial"/>
              </w:rPr>
              <w:t>Likelihood</w:t>
            </w:r>
          </w:p>
        </w:tc>
        <w:tc>
          <w:tcPr>
            <w:tcW w:w="911" w:type="dxa"/>
            <w:shd w:val="clear" w:color="auto" w:fill="auto"/>
          </w:tcPr>
          <w:p w14:paraId="0C011501" w14:textId="77777777" w:rsidR="00692568" w:rsidRPr="00C91B0E" w:rsidRDefault="00692568" w:rsidP="00AB5B59">
            <w:pPr>
              <w:rPr>
                <w:rFonts w:cs="Arial"/>
              </w:rPr>
            </w:pPr>
            <w:r w:rsidRPr="00C91B0E">
              <w:rPr>
                <w:rFonts w:cs="Arial"/>
              </w:rPr>
              <w:t>Impact</w:t>
            </w:r>
          </w:p>
        </w:tc>
        <w:tc>
          <w:tcPr>
            <w:tcW w:w="1134" w:type="dxa"/>
            <w:shd w:val="clear" w:color="auto" w:fill="auto"/>
          </w:tcPr>
          <w:p w14:paraId="208F7F1D" w14:textId="77777777" w:rsidR="00692568" w:rsidRPr="00C91B0E" w:rsidRDefault="00692568" w:rsidP="00AB5B59">
            <w:pPr>
              <w:rPr>
                <w:rFonts w:cs="Arial"/>
              </w:rPr>
            </w:pPr>
            <w:r w:rsidRPr="00C91B0E">
              <w:rPr>
                <w:rFonts w:cs="Arial"/>
              </w:rPr>
              <w:t>Risk</w:t>
            </w:r>
          </w:p>
        </w:tc>
        <w:tc>
          <w:tcPr>
            <w:tcW w:w="1468" w:type="dxa"/>
            <w:shd w:val="clear" w:color="auto" w:fill="auto"/>
          </w:tcPr>
          <w:p w14:paraId="3C0C3468" w14:textId="77777777" w:rsidR="00692568" w:rsidRPr="00C91B0E" w:rsidRDefault="00692568" w:rsidP="00AB5B59">
            <w:pPr>
              <w:rPr>
                <w:rFonts w:cs="Arial"/>
              </w:rPr>
            </w:pPr>
            <w:r w:rsidRPr="00C91B0E">
              <w:rPr>
                <w:rFonts w:cs="Arial"/>
              </w:rPr>
              <w:t>Reserve requirement</w:t>
            </w:r>
          </w:p>
          <w:p w14:paraId="3B434E73" w14:textId="77777777" w:rsidR="00692568" w:rsidRPr="00C91B0E" w:rsidRDefault="00692568" w:rsidP="00AB5B59">
            <w:pPr>
              <w:rPr>
                <w:rFonts w:cs="Arial"/>
              </w:rPr>
            </w:pPr>
            <w:r w:rsidRPr="00C91B0E">
              <w:rPr>
                <w:rFonts w:cs="Arial"/>
              </w:rPr>
              <w:t>£</w:t>
            </w:r>
          </w:p>
        </w:tc>
      </w:tr>
      <w:tr w:rsidR="00692568" w:rsidRPr="00656AD3" w14:paraId="26C7C4B7" w14:textId="77777777" w:rsidTr="00AB5B59">
        <w:tc>
          <w:tcPr>
            <w:tcW w:w="1951" w:type="dxa"/>
            <w:shd w:val="clear" w:color="auto" w:fill="auto"/>
          </w:tcPr>
          <w:p w14:paraId="58140D42" w14:textId="77777777" w:rsidR="00692568" w:rsidRPr="00656AD3" w:rsidRDefault="00692568" w:rsidP="00AB5B59">
            <w:pPr>
              <w:jc w:val="left"/>
              <w:rPr>
                <w:rFonts w:cs="Arial"/>
                <w:sz w:val="24"/>
                <w:szCs w:val="24"/>
              </w:rPr>
            </w:pPr>
            <w:r w:rsidRPr="00656AD3">
              <w:rPr>
                <w:rFonts w:cs="Arial"/>
                <w:sz w:val="24"/>
                <w:szCs w:val="24"/>
              </w:rPr>
              <w:t>Interest rates do not increase in line with projections, or the Bank of England reduce interest rat</w:t>
            </w:r>
            <w:r>
              <w:rPr>
                <w:rFonts w:cs="Arial"/>
                <w:sz w:val="24"/>
                <w:szCs w:val="24"/>
              </w:rPr>
              <w:t>es to limit the impact of Covid-19</w:t>
            </w:r>
            <w:r w:rsidRPr="00656AD3">
              <w:rPr>
                <w:rFonts w:cs="Arial"/>
                <w:sz w:val="24"/>
                <w:szCs w:val="24"/>
              </w:rPr>
              <w:t xml:space="preserve">,  resulting in lower than anticipated investment income compared to the approved budgeted </w:t>
            </w:r>
          </w:p>
        </w:tc>
        <w:tc>
          <w:tcPr>
            <w:tcW w:w="1843" w:type="dxa"/>
            <w:shd w:val="clear" w:color="auto" w:fill="auto"/>
          </w:tcPr>
          <w:p w14:paraId="144D77B8" w14:textId="77777777" w:rsidR="00692568" w:rsidRPr="00656AD3" w:rsidRDefault="00692568" w:rsidP="00AB5B59">
            <w:pPr>
              <w:jc w:val="left"/>
              <w:rPr>
                <w:rFonts w:cs="Arial"/>
                <w:sz w:val="24"/>
                <w:szCs w:val="24"/>
              </w:rPr>
            </w:pPr>
            <w:r w:rsidRPr="00656AD3">
              <w:rPr>
                <w:rFonts w:cs="Arial"/>
                <w:sz w:val="24"/>
                <w:szCs w:val="24"/>
              </w:rPr>
              <w:t>Assumed at low rate</w:t>
            </w:r>
          </w:p>
          <w:p w14:paraId="7AF6800B" w14:textId="77777777" w:rsidR="00692568" w:rsidRPr="00656AD3" w:rsidRDefault="00692568" w:rsidP="00AB5B59">
            <w:pPr>
              <w:jc w:val="left"/>
              <w:rPr>
                <w:rFonts w:cs="Arial"/>
                <w:sz w:val="24"/>
                <w:szCs w:val="24"/>
              </w:rPr>
            </w:pPr>
            <w:r w:rsidRPr="00656AD3">
              <w:rPr>
                <w:rFonts w:cs="Arial"/>
                <w:sz w:val="24"/>
                <w:szCs w:val="24"/>
              </w:rPr>
              <w:t>1/2% sensitivity on £30m investment</w:t>
            </w:r>
          </w:p>
        </w:tc>
        <w:tc>
          <w:tcPr>
            <w:tcW w:w="1215" w:type="dxa"/>
            <w:shd w:val="clear" w:color="auto" w:fill="auto"/>
          </w:tcPr>
          <w:p w14:paraId="5D9B1AA8" w14:textId="77777777" w:rsidR="00692568" w:rsidRPr="00656AD3" w:rsidRDefault="00692568" w:rsidP="00AB5B59">
            <w:pPr>
              <w:rPr>
                <w:rFonts w:cs="Arial"/>
                <w:sz w:val="24"/>
                <w:szCs w:val="24"/>
              </w:rPr>
            </w:pPr>
            <w:r w:rsidRPr="00656AD3">
              <w:rPr>
                <w:rFonts w:cs="Arial"/>
                <w:sz w:val="24"/>
                <w:szCs w:val="24"/>
              </w:rPr>
              <w:t>1</w:t>
            </w:r>
          </w:p>
        </w:tc>
        <w:tc>
          <w:tcPr>
            <w:tcW w:w="911" w:type="dxa"/>
            <w:shd w:val="clear" w:color="auto" w:fill="auto"/>
          </w:tcPr>
          <w:p w14:paraId="225A9831" w14:textId="77777777" w:rsidR="00692568" w:rsidRPr="00656AD3" w:rsidRDefault="00692568" w:rsidP="00AB5B59">
            <w:pPr>
              <w:rPr>
                <w:rFonts w:cs="Arial"/>
                <w:sz w:val="24"/>
                <w:szCs w:val="24"/>
              </w:rPr>
            </w:pPr>
            <w:r w:rsidRPr="00656AD3">
              <w:rPr>
                <w:rFonts w:cs="Arial"/>
                <w:sz w:val="24"/>
                <w:szCs w:val="24"/>
              </w:rPr>
              <w:t>1</w:t>
            </w:r>
          </w:p>
        </w:tc>
        <w:tc>
          <w:tcPr>
            <w:tcW w:w="1134" w:type="dxa"/>
            <w:shd w:val="clear" w:color="auto" w:fill="auto"/>
          </w:tcPr>
          <w:p w14:paraId="088D5EA1" w14:textId="77777777" w:rsidR="00692568" w:rsidRPr="00656AD3" w:rsidRDefault="00692568" w:rsidP="00AB5B59">
            <w:pPr>
              <w:rPr>
                <w:rFonts w:cs="Arial"/>
                <w:sz w:val="24"/>
                <w:szCs w:val="24"/>
              </w:rPr>
            </w:pPr>
            <w:r>
              <w:rPr>
                <w:rFonts w:cs="Arial"/>
                <w:sz w:val="24"/>
                <w:szCs w:val="24"/>
              </w:rPr>
              <w:t>Medium</w:t>
            </w:r>
          </w:p>
        </w:tc>
        <w:tc>
          <w:tcPr>
            <w:tcW w:w="1468" w:type="dxa"/>
            <w:shd w:val="clear" w:color="auto" w:fill="auto"/>
          </w:tcPr>
          <w:p w14:paraId="3273FD43" w14:textId="77777777" w:rsidR="00692568" w:rsidRPr="00656AD3" w:rsidRDefault="00692568" w:rsidP="00AB5B59">
            <w:pPr>
              <w:rPr>
                <w:rFonts w:cs="Arial"/>
                <w:sz w:val="24"/>
                <w:szCs w:val="24"/>
              </w:rPr>
            </w:pPr>
            <w:r w:rsidRPr="00656AD3">
              <w:rPr>
                <w:rFonts w:cs="Arial"/>
                <w:sz w:val="24"/>
                <w:szCs w:val="24"/>
              </w:rPr>
              <w:t>150,000</w:t>
            </w:r>
          </w:p>
        </w:tc>
      </w:tr>
      <w:tr w:rsidR="00692568" w:rsidRPr="00656AD3" w14:paraId="74E37878" w14:textId="77777777" w:rsidTr="00AB5B59">
        <w:tc>
          <w:tcPr>
            <w:tcW w:w="1951" w:type="dxa"/>
            <w:shd w:val="clear" w:color="auto" w:fill="auto"/>
          </w:tcPr>
          <w:p w14:paraId="58D25DFF" w14:textId="77777777" w:rsidR="00692568" w:rsidRPr="00656AD3" w:rsidRDefault="00692568" w:rsidP="00AB5B59">
            <w:pPr>
              <w:jc w:val="left"/>
              <w:rPr>
                <w:rFonts w:cs="Arial"/>
                <w:sz w:val="24"/>
                <w:szCs w:val="24"/>
              </w:rPr>
            </w:pPr>
            <w:r w:rsidRPr="00656AD3">
              <w:rPr>
                <w:rFonts w:cs="Arial"/>
                <w:sz w:val="24"/>
                <w:szCs w:val="24"/>
              </w:rPr>
              <w:t>Income from fees and charges are lower than assumed.</w:t>
            </w:r>
          </w:p>
          <w:p w14:paraId="196CDE59" w14:textId="77777777" w:rsidR="00692568" w:rsidRPr="00656AD3" w:rsidRDefault="00692568" w:rsidP="00AB5B59">
            <w:pPr>
              <w:jc w:val="left"/>
              <w:rPr>
                <w:rFonts w:cs="Arial"/>
                <w:sz w:val="24"/>
                <w:szCs w:val="24"/>
              </w:rPr>
            </w:pPr>
          </w:p>
        </w:tc>
        <w:tc>
          <w:tcPr>
            <w:tcW w:w="1843" w:type="dxa"/>
            <w:shd w:val="clear" w:color="auto" w:fill="auto"/>
          </w:tcPr>
          <w:p w14:paraId="009AC697" w14:textId="77777777" w:rsidR="00692568" w:rsidRPr="00656AD3" w:rsidRDefault="00692568" w:rsidP="00AB5B59">
            <w:pPr>
              <w:jc w:val="left"/>
              <w:rPr>
                <w:rFonts w:cs="Arial"/>
                <w:sz w:val="24"/>
                <w:szCs w:val="24"/>
              </w:rPr>
            </w:pPr>
            <w:r w:rsidRPr="00656AD3">
              <w:rPr>
                <w:rFonts w:cs="Arial"/>
                <w:sz w:val="24"/>
                <w:szCs w:val="24"/>
              </w:rPr>
              <w:t xml:space="preserve">1% of total fees and charges income in the budget </w:t>
            </w:r>
          </w:p>
        </w:tc>
        <w:tc>
          <w:tcPr>
            <w:tcW w:w="1215" w:type="dxa"/>
            <w:shd w:val="clear" w:color="auto" w:fill="auto"/>
          </w:tcPr>
          <w:p w14:paraId="4CC1428E" w14:textId="77777777" w:rsidR="00692568" w:rsidRPr="00656AD3" w:rsidRDefault="00692568" w:rsidP="00AB5B59">
            <w:pPr>
              <w:rPr>
                <w:rFonts w:cs="Arial"/>
                <w:sz w:val="24"/>
                <w:szCs w:val="24"/>
              </w:rPr>
            </w:pPr>
            <w:r w:rsidRPr="00656AD3">
              <w:rPr>
                <w:rFonts w:cs="Arial"/>
                <w:sz w:val="24"/>
                <w:szCs w:val="24"/>
              </w:rPr>
              <w:t>2</w:t>
            </w:r>
          </w:p>
        </w:tc>
        <w:tc>
          <w:tcPr>
            <w:tcW w:w="911" w:type="dxa"/>
            <w:shd w:val="clear" w:color="auto" w:fill="auto"/>
          </w:tcPr>
          <w:p w14:paraId="2D23282A" w14:textId="77777777" w:rsidR="00692568" w:rsidRPr="00656AD3" w:rsidRDefault="00692568" w:rsidP="00AB5B59">
            <w:pPr>
              <w:rPr>
                <w:rFonts w:cs="Arial"/>
                <w:sz w:val="24"/>
                <w:szCs w:val="24"/>
              </w:rPr>
            </w:pPr>
            <w:r w:rsidRPr="00656AD3">
              <w:rPr>
                <w:rFonts w:cs="Arial"/>
                <w:sz w:val="24"/>
                <w:szCs w:val="24"/>
              </w:rPr>
              <w:t>2</w:t>
            </w:r>
          </w:p>
        </w:tc>
        <w:tc>
          <w:tcPr>
            <w:tcW w:w="1134" w:type="dxa"/>
            <w:shd w:val="clear" w:color="auto" w:fill="auto"/>
          </w:tcPr>
          <w:p w14:paraId="38C8ABC0" w14:textId="77777777" w:rsidR="00692568" w:rsidRPr="00656AD3" w:rsidRDefault="00692568" w:rsidP="00AB5B59">
            <w:pPr>
              <w:rPr>
                <w:rFonts w:cs="Arial"/>
                <w:sz w:val="24"/>
                <w:szCs w:val="24"/>
              </w:rPr>
            </w:pPr>
            <w:r w:rsidRPr="00656AD3">
              <w:rPr>
                <w:rFonts w:cs="Arial"/>
                <w:sz w:val="24"/>
                <w:szCs w:val="24"/>
              </w:rPr>
              <w:t>Medium</w:t>
            </w:r>
          </w:p>
        </w:tc>
        <w:tc>
          <w:tcPr>
            <w:tcW w:w="1468" w:type="dxa"/>
            <w:shd w:val="clear" w:color="auto" w:fill="auto"/>
          </w:tcPr>
          <w:p w14:paraId="0571AC16" w14:textId="77777777" w:rsidR="00692568" w:rsidRPr="00656AD3" w:rsidRDefault="00692568" w:rsidP="00AB5B59">
            <w:pPr>
              <w:rPr>
                <w:rFonts w:cs="Arial"/>
                <w:sz w:val="24"/>
                <w:szCs w:val="24"/>
              </w:rPr>
            </w:pPr>
            <w:r w:rsidRPr="00656AD3">
              <w:rPr>
                <w:rFonts w:cs="Arial"/>
                <w:sz w:val="24"/>
                <w:szCs w:val="24"/>
              </w:rPr>
              <w:t>150,000</w:t>
            </w:r>
          </w:p>
        </w:tc>
      </w:tr>
      <w:tr w:rsidR="00692568" w:rsidRPr="00656AD3" w14:paraId="6E0CD723" w14:textId="77777777" w:rsidTr="00AB5B59">
        <w:tc>
          <w:tcPr>
            <w:tcW w:w="1951" w:type="dxa"/>
            <w:shd w:val="clear" w:color="auto" w:fill="auto"/>
          </w:tcPr>
          <w:p w14:paraId="55918170" w14:textId="77777777" w:rsidR="00692568" w:rsidRPr="00656AD3" w:rsidRDefault="00692568" w:rsidP="00AB5B59">
            <w:pPr>
              <w:jc w:val="left"/>
              <w:rPr>
                <w:rFonts w:cs="Arial"/>
                <w:sz w:val="24"/>
                <w:szCs w:val="24"/>
              </w:rPr>
            </w:pPr>
            <w:r w:rsidRPr="00656AD3">
              <w:rPr>
                <w:rFonts w:cs="Arial"/>
                <w:sz w:val="24"/>
                <w:szCs w:val="24"/>
              </w:rPr>
              <w:t>Operational / service needs require unplanned financial resources</w:t>
            </w:r>
          </w:p>
        </w:tc>
        <w:tc>
          <w:tcPr>
            <w:tcW w:w="1843" w:type="dxa"/>
            <w:shd w:val="clear" w:color="auto" w:fill="auto"/>
          </w:tcPr>
          <w:p w14:paraId="4A1F8A9E" w14:textId="77777777" w:rsidR="00692568" w:rsidRPr="00656AD3" w:rsidRDefault="00692568" w:rsidP="00AB5B59">
            <w:pPr>
              <w:jc w:val="left"/>
              <w:rPr>
                <w:rFonts w:cs="Arial"/>
                <w:sz w:val="24"/>
                <w:szCs w:val="24"/>
              </w:rPr>
            </w:pPr>
            <w:r w:rsidRPr="00656AD3">
              <w:rPr>
                <w:rFonts w:cs="Arial"/>
                <w:sz w:val="24"/>
                <w:szCs w:val="24"/>
              </w:rPr>
              <w:t>Contingency based on 2 significant events at £500,000 each</w:t>
            </w:r>
          </w:p>
        </w:tc>
        <w:tc>
          <w:tcPr>
            <w:tcW w:w="1215" w:type="dxa"/>
            <w:shd w:val="clear" w:color="auto" w:fill="auto"/>
          </w:tcPr>
          <w:p w14:paraId="37159C93" w14:textId="77777777" w:rsidR="00692568" w:rsidRPr="00656AD3" w:rsidRDefault="00692568" w:rsidP="00AB5B59">
            <w:pPr>
              <w:rPr>
                <w:rFonts w:cs="Arial"/>
                <w:sz w:val="24"/>
                <w:szCs w:val="24"/>
              </w:rPr>
            </w:pPr>
            <w:r w:rsidRPr="00656AD3">
              <w:rPr>
                <w:rFonts w:cs="Arial"/>
                <w:sz w:val="24"/>
                <w:szCs w:val="24"/>
              </w:rPr>
              <w:t>2</w:t>
            </w:r>
          </w:p>
        </w:tc>
        <w:tc>
          <w:tcPr>
            <w:tcW w:w="911" w:type="dxa"/>
            <w:shd w:val="clear" w:color="auto" w:fill="auto"/>
          </w:tcPr>
          <w:p w14:paraId="532490B0" w14:textId="77777777" w:rsidR="00692568" w:rsidRPr="00656AD3" w:rsidRDefault="00692568" w:rsidP="00AB5B59">
            <w:pPr>
              <w:rPr>
                <w:rFonts w:cs="Arial"/>
                <w:sz w:val="24"/>
                <w:szCs w:val="24"/>
              </w:rPr>
            </w:pPr>
            <w:r w:rsidRPr="00656AD3">
              <w:rPr>
                <w:rFonts w:cs="Arial"/>
                <w:sz w:val="24"/>
                <w:szCs w:val="24"/>
              </w:rPr>
              <w:t>2</w:t>
            </w:r>
          </w:p>
        </w:tc>
        <w:tc>
          <w:tcPr>
            <w:tcW w:w="1134" w:type="dxa"/>
            <w:shd w:val="clear" w:color="auto" w:fill="auto"/>
          </w:tcPr>
          <w:p w14:paraId="3CCF8F3F" w14:textId="77777777" w:rsidR="00692568" w:rsidRPr="00656AD3" w:rsidRDefault="00692568" w:rsidP="00AB5B59">
            <w:pPr>
              <w:rPr>
                <w:rFonts w:cs="Arial"/>
                <w:sz w:val="24"/>
                <w:szCs w:val="24"/>
              </w:rPr>
            </w:pPr>
            <w:r w:rsidRPr="00656AD3">
              <w:rPr>
                <w:rFonts w:cs="Arial"/>
                <w:sz w:val="24"/>
                <w:szCs w:val="24"/>
              </w:rPr>
              <w:t>Medium</w:t>
            </w:r>
          </w:p>
        </w:tc>
        <w:tc>
          <w:tcPr>
            <w:tcW w:w="1468" w:type="dxa"/>
            <w:shd w:val="clear" w:color="auto" w:fill="auto"/>
          </w:tcPr>
          <w:p w14:paraId="01B73F87" w14:textId="77777777" w:rsidR="00692568" w:rsidRPr="00656AD3" w:rsidRDefault="00692568" w:rsidP="00AB5B59">
            <w:pPr>
              <w:rPr>
                <w:rFonts w:cs="Arial"/>
                <w:sz w:val="24"/>
                <w:szCs w:val="24"/>
              </w:rPr>
            </w:pPr>
            <w:r w:rsidRPr="00656AD3">
              <w:rPr>
                <w:rFonts w:cs="Arial"/>
                <w:sz w:val="24"/>
                <w:szCs w:val="24"/>
              </w:rPr>
              <w:t>1,000,000</w:t>
            </w:r>
          </w:p>
        </w:tc>
      </w:tr>
      <w:tr w:rsidR="00692568" w:rsidRPr="00656AD3" w14:paraId="3F4C7579" w14:textId="77777777" w:rsidTr="00AB5B59">
        <w:tc>
          <w:tcPr>
            <w:tcW w:w="1951" w:type="dxa"/>
            <w:shd w:val="clear" w:color="auto" w:fill="auto"/>
          </w:tcPr>
          <w:p w14:paraId="7DA6434A" w14:textId="77777777" w:rsidR="00692568" w:rsidRPr="00656AD3" w:rsidRDefault="00692568" w:rsidP="00AB5B59">
            <w:pPr>
              <w:jc w:val="left"/>
              <w:rPr>
                <w:rFonts w:cs="Arial"/>
                <w:sz w:val="24"/>
                <w:szCs w:val="24"/>
              </w:rPr>
            </w:pPr>
            <w:r w:rsidRPr="00656AD3">
              <w:rPr>
                <w:rFonts w:cs="Arial"/>
                <w:sz w:val="24"/>
                <w:szCs w:val="24"/>
              </w:rPr>
              <w:t xml:space="preserve">Additional resources required for capital programme: </w:t>
            </w:r>
            <w:r w:rsidRPr="00656AD3">
              <w:rPr>
                <w:rFonts w:cs="Arial"/>
                <w:sz w:val="24"/>
                <w:szCs w:val="24"/>
              </w:rPr>
              <w:lastRenderedPageBreak/>
              <w:t>Reduced / delayed</w:t>
            </w:r>
          </w:p>
        </w:tc>
        <w:tc>
          <w:tcPr>
            <w:tcW w:w="1843" w:type="dxa"/>
            <w:shd w:val="clear" w:color="auto" w:fill="auto"/>
          </w:tcPr>
          <w:p w14:paraId="6E705C1A" w14:textId="77777777" w:rsidR="00692568" w:rsidRPr="00656AD3" w:rsidRDefault="00692568" w:rsidP="00AB5B59">
            <w:pPr>
              <w:jc w:val="left"/>
              <w:rPr>
                <w:rFonts w:cs="Arial"/>
                <w:sz w:val="24"/>
                <w:szCs w:val="24"/>
              </w:rPr>
            </w:pPr>
            <w:r w:rsidRPr="00656AD3">
              <w:rPr>
                <w:rFonts w:cs="Arial"/>
                <w:sz w:val="24"/>
                <w:szCs w:val="24"/>
              </w:rPr>
              <w:lastRenderedPageBreak/>
              <w:t xml:space="preserve">20% of  receipts required </w:t>
            </w:r>
          </w:p>
        </w:tc>
        <w:tc>
          <w:tcPr>
            <w:tcW w:w="1215" w:type="dxa"/>
            <w:shd w:val="clear" w:color="auto" w:fill="auto"/>
          </w:tcPr>
          <w:p w14:paraId="678A32C6" w14:textId="77777777" w:rsidR="00692568" w:rsidRPr="00656AD3" w:rsidRDefault="00692568" w:rsidP="00AB5B59">
            <w:pPr>
              <w:rPr>
                <w:rFonts w:cs="Arial"/>
                <w:sz w:val="24"/>
                <w:szCs w:val="24"/>
              </w:rPr>
            </w:pPr>
            <w:r w:rsidRPr="00656AD3">
              <w:rPr>
                <w:rFonts w:cs="Arial"/>
                <w:sz w:val="24"/>
                <w:szCs w:val="24"/>
              </w:rPr>
              <w:t>3</w:t>
            </w:r>
          </w:p>
        </w:tc>
        <w:tc>
          <w:tcPr>
            <w:tcW w:w="911" w:type="dxa"/>
            <w:shd w:val="clear" w:color="auto" w:fill="auto"/>
          </w:tcPr>
          <w:p w14:paraId="3BCAD456" w14:textId="77777777" w:rsidR="00692568" w:rsidRPr="00656AD3" w:rsidRDefault="00692568" w:rsidP="00AB5B59">
            <w:pPr>
              <w:rPr>
                <w:rFonts w:cs="Arial"/>
                <w:sz w:val="24"/>
                <w:szCs w:val="24"/>
              </w:rPr>
            </w:pPr>
            <w:r w:rsidRPr="00656AD3">
              <w:rPr>
                <w:rFonts w:cs="Arial"/>
                <w:sz w:val="24"/>
                <w:szCs w:val="24"/>
              </w:rPr>
              <w:t>2</w:t>
            </w:r>
          </w:p>
        </w:tc>
        <w:tc>
          <w:tcPr>
            <w:tcW w:w="1134" w:type="dxa"/>
            <w:shd w:val="clear" w:color="auto" w:fill="auto"/>
          </w:tcPr>
          <w:p w14:paraId="6F40AB20" w14:textId="77777777" w:rsidR="00692568" w:rsidRPr="00656AD3" w:rsidRDefault="00692568" w:rsidP="00AB5B59">
            <w:pPr>
              <w:rPr>
                <w:rFonts w:cs="Arial"/>
                <w:sz w:val="24"/>
                <w:szCs w:val="24"/>
              </w:rPr>
            </w:pPr>
            <w:r w:rsidRPr="00656AD3">
              <w:rPr>
                <w:rFonts w:cs="Arial"/>
                <w:sz w:val="24"/>
                <w:szCs w:val="24"/>
              </w:rPr>
              <w:t>High</w:t>
            </w:r>
          </w:p>
        </w:tc>
        <w:tc>
          <w:tcPr>
            <w:tcW w:w="1468" w:type="dxa"/>
            <w:shd w:val="clear" w:color="auto" w:fill="auto"/>
          </w:tcPr>
          <w:p w14:paraId="1EF1DA32" w14:textId="77777777" w:rsidR="00692568" w:rsidRPr="00656AD3" w:rsidRDefault="00692568" w:rsidP="00AB5B59">
            <w:pPr>
              <w:rPr>
                <w:rFonts w:cs="Arial"/>
                <w:sz w:val="24"/>
                <w:szCs w:val="24"/>
              </w:rPr>
            </w:pPr>
            <w:r w:rsidRPr="00656AD3">
              <w:rPr>
                <w:rFonts w:cs="Arial"/>
                <w:sz w:val="24"/>
                <w:szCs w:val="24"/>
              </w:rPr>
              <w:t>300,000</w:t>
            </w:r>
          </w:p>
        </w:tc>
      </w:tr>
      <w:tr w:rsidR="00692568" w:rsidRPr="00656AD3" w14:paraId="26908CBA" w14:textId="77777777" w:rsidTr="00AB5B59">
        <w:tc>
          <w:tcPr>
            <w:tcW w:w="1951" w:type="dxa"/>
            <w:tcBorders>
              <w:top w:val="single" w:sz="4" w:space="0" w:color="auto"/>
              <w:left w:val="single" w:sz="4" w:space="0" w:color="auto"/>
              <w:bottom w:val="single" w:sz="4" w:space="0" w:color="auto"/>
              <w:right w:val="single" w:sz="4" w:space="0" w:color="auto"/>
            </w:tcBorders>
            <w:shd w:val="clear" w:color="auto" w:fill="auto"/>
          </w:tcPr>
          <w:p w14:paraId="73437D78" w14:textId="77777777" w:rsidR="00692568" w:rsidRPr="00656AD3" w:rsidRDefault="00692568" w:rsidP="00AB5B59">
            <w:pPr>
              <w:jc w:val="left"/>
              <w:rPr>
                <w:rFonts w:cs="Arial"/>
                <w:sz w:val="24"/>
                <w:szCs w:val="24"/>
              </w:rPr>
            </w:pPr>
            <w:r>
              <w:rPr>
                <w:rFonts w:cs="Arial"/>
                <w:sz w:val="24"/>
                <w:szCs w:val="24"/>
              </w:rPr>
              <w:t>2020/21 s</w:t>
            </w:r>
            <w:r w:rsidRPr="00656AD3">
              <w:rPr>
                <w:rFonts w:cs="Arial"/>
                <w:sz w:val="24"/>
                <w:szCs w:val="24"/>
              </w:rPr>
              <w:t>avings identified that the Council is unable to  implement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314E9D" w14:textId="77777777" w:rsidR="00692568" w:rsidRPr="00656AD3" w:rsidRDefault="00692568" w:rsidP="00AB5B59">
            <w:pPr>
              <w:jc w:val="left"/>
              <w:rPr>
                <w:rFonts w:cs="Arial"/>
                <w:sz w:val="24"/>
                <w:szCs w:val="24"/>
              </w:rPr>
            </w:pPr>
            <w:r w:rsidRPr="00656AD3">
              <w:rPr>
                <w:rFonts w:cs="Arial"/>
                <w:sz w:val="24"/>
                <w:szCs w:val="24"/>
              </w:rPr>
              <w:t xml:space="preserve">In line with transformation savings, </w:t>
            </w:r>
          </w:p>
          <w:p w14:paraId="21A1DE24" w14:textId="77777777" w:rsidR="00692568" w:rsidRPr="00656AD3" w:rsidRDefault="00692568" w:rsidP="00AB5B59">
            <w:pPr>
              <w:jc w:val="left"/>
              <w:rPr>
                <w:rFonts w:cs="Arial"/>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14:paraId="59D3BD5B" w14:textId="77777777" w:rsidR="00692568" w:rsidRPr="00656AD3" w:rsidRDefault="00692568" w:rsidP="00AB5B59">
            <w:pPr>
              <w:rPr>
                <w:rFonts w:cs="Arial"/>
                <w:sz w:val="24"/>
                <w:szCs w:val="24"/>
              </w:rPr>
            </w:pPr>
            <w:r w:rsidRPr="00656AD3">
              <w:rPr>
                <w:rFonts w:cs="Arial"/>
                <w:sz w:val="24"/>
                <w:szCs w:val="24"/>
              </w:rPr>
              <w:t>2</w:t>
            </w: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2B142154" w14:textId="77777777" w:rsidR="00692568" w:rsidRPr="00656AD3" w:rsidRDefault="00692568" w:rsidP="00AB5B59">
            <w:pPr>
              <w:rPr>
                <w:rFonts w:cs="Arial"/>
                <w:sz w:val="24"/>
                <w:szCs w:val="24"/>
              </w:rPr>
            </w:pPr>
            <w:r w:rsidRPr="00656AD3">
              <w:rPr>
                <w:rFonts w:cs="Arial"/>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4F621E" w14:textId="77777777" w:rsidR="00692568" w:rsidRPr="00656AD3" w:rsidRDefault="00692568" w:rsidP="00AB5B59">
            <w:pPr>
              <w:rPr>
                <w:rFonts w:cs="Arial"/>
                <w:sz w:val="24"/>
                <w:szCs w:val="24"/>
              </w:rPr>
            </w:pPr>
            <w:r w:rsidRPr="00656AD3">
              <w:rPr>
                <w:rFonts w:cs="Arial"/>
                <w:sz w:val="24"/>
                <w:szCs w:val="24"/>
              </w:rPr>
              <w:t>Medium</w:t>
            </w: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0673E122" w14:textId="77777777" w:rsidR="00692568" w:rsidRPr="00656AD3" w:rsidRDefault="00692568" w:rsidP="00AB5B59">
            <w:pPr>
              <w:rPr>
                <w:rFonts w:cs="Arial"/>
                <w:sz w:val="24"/>
                <w:szCs w:val="24"/>
              </w:rPr>
            </w:pPr>
            <w:r w:rsidRPr="00656AD3">
              <w:rPr>
                <w:rFonts w:cs="Arial"/>
                <w:sz w:val="24"/>
                <w:szCs w:val="24"/>
              </w:rPr>
              <w:t>500,000</w:t>
            </w:r>
          </w:p>
        </w:tc>
      </w:tr>
      <w:tr w:rsidR="00692568" w:rsidRPr="00656AD3" w14:paraId="3B33FE43" w14:textId="77777777" w:rsidTr="00AB5B59">
        <w:tc>
          <w:tcPr>
            <w:tcW w:w="1951" w:type="dxa"/>
            <w:tcBorders>
              <w:top w:val="single" w:sz="4" w:space="0" w:color="auto"/>
              <w:left w:val="single" w:sz="4" w:space="0" w:color="auto"/>
              <w:bottom w:val="single" w:sz="4" w:space="0" w:color="auto"/>
              <w:right w:val="single" w:sz="4" w:space="0" w:color="auto"/>
            </w:tcBorders>
            <w:shd w:val="clear" w:color="auto" w:fill="auto"/>
          </w:tcPr>
          <w:p w14:paraId="127377F7" w14:textId="77777777" w:rsidR="00692568" w:rsidRPr="00656AD3" w:rsidRDefault="00692568" w:rsidP="00AB5B59">
            <w:pPr>
              <w:rPr>
                <w:rFonts w:cs="Arial"/>
                <w:sz w:val="24"/>
                <w:szCs w:val="24"/>
              </w:rPr>
            </w:pPr>
            <w:r w:rsidRPr="00656AD3">
              <w:rPr>
                <w:rFonts w:cs="Arial"/>
                <w:sz w:val="24"/>
                <w:szCs w:val="24"/>
              </w:rPr>
              <w:t>Total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CE01A3" w14:textId="77777777" w:rsidR="00692568" w:rsidRPr="00656AD3" w:rsidRDefault="00692568" w:rsidP="00AB5B59">
            <w:pPr>
              <w:rPr>
                <w:rFonts w:cs="Arial"/>
                <w:sz w:val="24"/>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14:paraId="6421D248" w14:textId="77777777" w:rsidR="00692568" w:rsidRPr="00656AD3" w:rsidRDefault="00692568" w:rsidP="00AB5B59">
            <w:pPr>
              <w:rPr>
                <w:rFonts w:cs="Arial"/>
                <w:sz w:val="24"/>
                <w:szCs w:val="24"/>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008D0EF8" w14:textId="77777777" w:rsidR="00692568" w:rsidRPr="00656AD3" w:rsidRDefault="00692568" w:rsidP="00AB5B59">
            <w:pPr>
              <w:rPr>
                <w:rFonts w:cs="Arial"/>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83E868" w14:textId="77777777" w:rsidR="00692568" w:rsidRPr="00656AD3" w:rsidRDefault="00692568" w:rsidP="00AB5B59">
            <w:pPr>
              <w:rPr>
                <w:rFonts w:cs="Arial"/>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tcPr>
          <w:p w14:paraId="6577ACFB" w14:textId="77777777" w:rsidR="00692568" w:rsidRPr="00656AD3" w:rsidRDefault="00692568" w:rsidP="00AB5B59">
            <w:pPr>
              <w:rPr>
                <w:rFonts w:cs="Arial"/>
                <w:sz w:val="24"/>
                <w:szCs w:val="24"/>
              </w:rPr>
            </w:pPr>
            <w:r w:rsidRPr="00656AD3">
              <w:rPr>
                <w:rFonts w:cs="Arial"/>
                <w:sz w:val="24"/>
                <w:szCs w:val="24"/>
              </w:rPr>
              <w:t>2,100,000</w:t>
            </w:r>
          </w:p>
        </w:tc>
      </w:tr>
    </w:tbl>
    <w:p w14:paraId="299A52A8" w14:textId="77AC9FA0" w:rsidR="00AB5B59" w:rsidRDefault="00EB431C">
      <w:pPr>
        <w:rPr>
          <w:b/>
          <w:sz w:val="32"/>
          <w:szCs w:val="32"/>
        </w:rPr>
      </w:pPr>
      <w:r>
        <w:rPr>
          <w:b/>
          <w:sz w:val="32"/>
          <w:szCs w:val="32"/>
        </w:rPr>
        <w:t>Appendix 7</w:t>
      </w:r>
    </w:p>
    <w:p w14:paraId="5E134D70" w14:textId="258E9C04" w:rsidR="00AB5B59" w:rsidRDefault="00AB5B59">
      <w:pPr>
        <w:rPr>
          <w:b/>
          <w:sz w:val="32"/>
          <w:szCs w:val="32"/>
        </w:rPr>
      </w:pPr>
    </w:p>
    <w:tbl>
      <w:tblPr>
        <w:tblW w:w="0" w:type="auto"/>
        <w:tblLook w:val="01E0" w:firstRow="1" w:lastRow="1" w:firstColumn="1" w:lastColumn="1" w:noHBand="0" w:noVBand="0"/>
      </w:tblPr>
      <w:tblGrid>
        <w:gridCol w:w="9012"/>
        <w:gridCol w:w="14"/>
      </w:tblGrid>
      <w:tr w:rsidR="00AB5B59" w:rsidRPr="003506D3" w14:paraId="76A7FEBC" w14:textId="77777777" w:rsidTr="005943A6">
        <w:trPr>
          <w:gridAfter w:val="1"/>
          <w:wAfter w:w="14" w:type="dxa"/>
          <w:trHeight w:val="1674"/>
        </w:trPr>
        <w:tc>
          <w:tcPr>
            <w:tcW w:w="9228" w:type="dxa"/>
            <w:shd w:val="clear" w:color="auto" w:fill="auto"/>
          </w:tcPr>
          <w:p w14:paraId="0C8929AB" w14:textId="77777777" w:rsidR="00AB5B59" w:rsidRPr="003506D3" w:rsidRDefault="00AB5B59" w:rsidP="005943A6">
            <w:pPr>
              <w:jc w:val="center"/>
              <w:rPr>
                <w:rFonts w:ascii="Arial Black" w:hAnsi="Arial Black"/>
                <w:sz w:val="24"/>
                <w:szCs w:val="24"/>
              </w:rPr>
            </w:pPr>
            <w:r w:rsidRPr="003506D3">
              <w:rPr>
                <w:rFonts w:ascii="Arial Black" w:hAnsi="Arial Black"/>
                <w:sz w:val="24"/>
                <w:szCs w:val="24"/>
              </w:rPr>
              <w:t>R</w:t>
            </w:r>
            <w:r>
              <w:rPr>
                <w:rFonts w:ascii="Arial Black" w:hAnsi="Arial Black"/>
                <w:sz w:val="24"/>
                <w:szCs w:val="24"/>
              </w:rPr>
              <w:t>eport of Overview and Scrutiny Committee (Corporate Resources)</w:t>
            </w:r>
          </w:p>
          <w:p w14:paraId="05103FB8" w14:textId="77777777" w:rsidR="00AB5B59" w:rsidRPr="003506D3" w:rsidRDefault="00AB5B59" w:rsidP="005943A6">
            <w:pPr>
              <w:jc w:val="center"/>
              <w:rPr>
                <w:rFonts w:ascii="Arial Black" w:hAnsi="Arial Black"/>
                <w:sz w:val="24"/>
                <w:szCs w:val="24"/>
              </w:rPr>
            </w:pPr>
            <w:r w:rsidRPr="003506D3">
              <w:rPr>
                <w:rFonts w:ascii="Arial Black" w:hAnsi="Arial Black"/>
                <w:sz w:val="24"/>
                <w:szCs w:val="24"/>
              </w:rPr>
              <w:t>To</w:t>
            </w:r>
          </w:p>
          <w:p w14:paraId="5B692AF7" w14:textId="77777777" w:rsidR="00AB5B59" w:rsidRPr="003506D3" w:rsidRDefault="00AB5B59" w:rsidP="005943A6">
            <w:pPr>
              <w:jc w:val="center"/>
              <w:rPr>
                <w:rFonts w:ascii="Arial Black" w:hAnsi="Arial Black"/>
                <w:sz w:val="24"/>
                <w:szCs w:val="24"/>
              </w:rPr>
            </w:pPr>
            <w:r w:rsidRPr="003506D3">
              <w:rPr>
                <w:rFonts w:ascii="Arial Black" w:hAnsi="Arial Black"/>
                <w:sz w:val="24"/>
                <w:szCs w:val="24"/>
              </w:rPr>
              <w:t>Cabinet</w:t>
            </w:r>
          </w:p>
          <w:p w14:paraId="6CA23D9D" w14:textId="77777777" w:rsidR="00AB5B59" w:rsidRPr="003506D3" w:rsidRDefault="00AB5B59" w:rsidP="005943A6">
            <w:pPr>
              <w:jc w:val="center"/>
              <w:rPr>
                <w:rFonts w:ascii="Arial Black" w:hAnsi="Arial Black"/>
                <w:sz w:val="24"/>
                <w:szCs w:val="24"/>
              </w:rPr>
            </w:pPr>
            <w:r w:rsidRPr="003506D3">
              <w:rPr>
                <w:rFonts w:ascii="Arial Black" w:hAnsi="Arial Black" w:cs="Arial"/>
                <w:sz w:val="24"/>
                <w:szCs w:val="24"/>
              </w:rPr>
              <w:t>On</w:t>
            </w:r>
          </w:p>
          <w:p w14:paraId="2722A1DA" w14:textId="77777777" w:rsidR="00AB5B59" w:rsidRPr="003506D3" w:rsidRDefault="00AB5B59" w:rsidP="005943A6">
            <w:pPr>
              <w:jc w:val="center"/>
              <w:rPr>
                <w:rFonts w:ascii="Arial Black" w:hAnsi="Arial Black"/>
                <w:sz w:val="24"/>
                <w:szCs w:val="24"/>
              </w:rPr>
            </w:pPr>
            <w:r>
              <w:rPr>
                <w:rFonts w:ascii="Arial Black" w:hAnsi="Arial Black"/>
                <w:sz w:val="24"/>
                <w:szCs w:val="24"/>
              </w:rPr>
              <w:t xml:space="preserve">14 </w:t>
            </w:r>
            <w:r w:rsidRPr="003506D3">
              <w:rPr>
                <w:rFonts w:ascii="Arial Black" w:hAnsi="Arial Black"/>
                <w:sz w:val="24"/>
                <w:szCs w:val="24"/>
              </w:rPr>
              <w:t xml:space="preserve">December </w:t>
            </w:r>
            <w:r>
              <w:rPr>
                <w:rFonts w:ascii="Arial Black" w:hAnsi="Arial Black"/>
                <w:sz w:val="24"/>
                <w:szCs w:val="24"/>
              </w:rPr>
              <w:t>2020</w:t>
            </w:r>
          </w:p>
        </w:tc>
      </w:tr>
      <w:tr w:rsidR="00AB5B59" w:rsidRPr="003506D3" w14:paraId="46DB97E7" w14:textId="77777777" w:rsidTr="005943A6">
        <w:trPr>
          <w:gridAfter w:val="1"/>
          <w:wAfter w:w="14" w:type="dxa"/>
        </w:trPr>
        <w:tc>
          <w:tcPr>
            <w:tcW w:w="9228" w:type="dxa"/>
            <w:shd w:val="clear" w:color="auto" w:fill="auto"/>
          </w:tcPr>
          <w:p w14:paraId="25E46AA2" w14:textId="77777777" w:rsidR="00AB5B59" w:rsidRPr="003506D3" w:rsidRDefault="00AB5B59" w:rsidP="005943A6">
            <w:pPr>
              <w:jc w:val="center"/>
              <w:rPr>
                <w:rFonts w:ascii="Arial Black" w:hAnsi="Arial Black"/>
                <w:sz w:val="24"/>
                <w:szCs w:val="24"/>
              </w:rPr>
            </w:pPr>
          </w:p>
        </w:tc>
      </w:tr>
      <w:tr w:rsidR="00AB5B59" w:rsidRPr="003506D3" w14:paraId="6ED76697" w14:textId="77777777" w:rsidTr="005943A6">
        <w:tc>
          <w:tcPr>
            <w:tcW w:w="9242" w:type="dxa"/>
            <w:gridSpan w:val="2"/>
            <w:tcBorders>
              <w:top w:val="single" w:sz="24" w:space="0" w:color="auto"/>
              <w:bottom w:val="single" w:sz="24" w:space="0" w:color="auto"/>
            </w:tcBorders>
            <w:shd w:val="clear" w:color="auto" w:fill="auto"/>
          </w:tcPr>
          <w:p w14:paraId="715F4498" w14:textId="77777777" w:rsidR="00AB5B59" w:rsidRPr="003506D3" w:rsidRDefault="00AB5B59" w:rsidP="005943A6">
            <w:pPr>
              <w:spacing w:before="240" w:after="240"/>
              <w:jc w:val="center"/>
              <w:rPr>
                <w:rFonts w:cs="Arial"/>
                <w:b/>
                <w:sz w:val="24"/>
                <w:szCs w:val="24"/>
              </w:rPr>
            </w:pPr>
            <w:r>
              <w:rPr>
                <w:rFonts w:cs="Arial"/>
                <w:b/>
                <w:sz w:val="24"/>
                <w:szCs w:val="24"/>
              </w:rPr>
              <w:t>MEDIUM TERM FINANCIAL STRATEGY 2021/22 to 2023/24</w:t>
            </w:r>
          </w:p>
        </w:tc>
      </w:tr>
    </w:tbl>
    <w:p w14:paraId="588793EF" w14:textId="77777777" w:rsidR="00AB5B59" w:rsidRPr="00531CC4" w:rsidRDefault="00AB5B59" w:rsidP="00AB5B59">
      <w:pPr>
        <w:rPr>
          <w:b/>
          <w:sz w:val="24"/>
          <w:szCs w:val="24"/>
        </w:rPr>
      </w:pPr>
    </w:p>
    <w:p w14:paraId="64431303" w14:textId="77777777" w:rsidR="00AB5B59" w:rsidRDefault="00AB5B59" w:rsidP="00AB5B59">
      <w:pPr>
        <w:rPr>
          <w:b/>
          <w:sz w:val="24"/>
          <w:szCs w:val="24"/>
        </w:rPr>
      </w:pPr>
      <w:r w:rsidRPr="00531CC4">
        <w:rPr>
          <w:b/>
          <w:sz w:val="24"/>
          <w:szCs w:val="24"/>
        </w:rPr>
        <w:t>1.</w:t>
      </w:r>
      <w:r w:rsidRPr="00531CC4">
        <w:rPr>
          <w:b/>
          <w:sz w:val="24"/>
          <w:szCs w:val="24"/>
        </w:rPr>
        <w:tab/>
        <w:t>SUMMARY</w:t>
      </w:r>
    </w:p>
    <w:p w14:paraId="7C3D3619" w14:textId="77777777" w:rsidR="00AB5B59" w:rsidRDefault="00AB5B59" w:rsidP="00AB5B59">
      <w:pPr>
        <w:rPr>
          <w:b/>
          <w:sz w:val="24"/>
          <w:szCs w:val="24"/>
        </w:rPr>
      </w:pPr>
    </w:p>
    <w:p w14:paraId="53515F62" w14:textId="77777777" w:rsidR="00AB5B59" w:rsidRPr="00701931" w:rsidRDefault="00AB5B59" w:rsidP="00AB5B59">
      <w:pPr>
        <w:ind w:left="720"/>
        <w:rPr>
          <w:sz w:val="24"/>
          <w:szCs w:val="24"/>
        </w:rPr>
      </w:pPr>
      <w:r>
        <w:rPr>
          <w:sz w:val="24"/>
          <w:szCs w:val="24"/>
        </w:rPr>
        <w:t xml:space="preserve">To advise Cabinet of the conclusions and recommendations from Overview and Scrutiny Committee (Corporate Resources) relating to the scrutiny of the Medium Term Financial Strategy for 2021/22 to 2023/24 </w:t>
      </w:r>
    </w:p>
    <w:p w14:paraId="73C507A4" w14:textId="77777777" w:rsidR="00AB5B59" w:rsidRPr="00701931" w:rsidRDefault="00AB5B59" w:rsidP="00AB5B59">
      <w:pPr>
        <w:rPr>
          <w:i/>
          <w:sz w:val="24"/>
          <w:szCs w:val="24"/>
        </w:rPr>
      </w:pPr>
    </w:p>
    <w:p w14:paraId="68C324FF" w14:textId="77777777" w:rsidR="00AB5B59" w:rsidRDefault="00AB5B59" w:rsidP="00AB5B59">
      <w:pPr>
        <w:rPr>
          <w:b/>
          <w:sz w:val="24"/>
          <w:szCs w:val="24"/>
        </w:rPr>
      </w:pPr>
      <w:r>
        <w:rPr>
          <w:b/>
          <w:sz w:val="24"/>
          <w:szCs w:val="24"/>
        </w:rPr>
        <w:t>2</w:t>
      </w:r>
      <w:r w:rsidRPr="00531CC4">
        <w:rPr>
          <w:b/>
          <w:sz w:val="24"/>
          <w:szCs w:val="24"/>
        </w:rPr>
        <w:t>.</w:t>
      </w:r>
      <w:r w:rsidRPr="00531CC4">
        <w:rPr>
          <w:b/>
          <w:sz w:val="24"/>
          <w:szCs w:val="24"/>
        </w:rPr>
        <w:tab/>
        <w:t>BACKGROUND</w:t>
      </w:r>
    </w:p>
    <w:p w14:paraId="216F45BF" w14:textId="77777777" w:rsidR="00AB5B59" w:rsidRDefault="00AB5B59" w:rsidP="00AB5B59">
      <w:pPr>
        <w:rPr>
          <w:b/>
          <w:sz w:val="24"/>
          <w:szCs w:val="24"/>
        </w:rPr>
      </w:pPr>
    </w:p>
    <w:p w14:paraId="44D37492" w14:textId="77777777" w:rsidR="00AB5B59" w:rsidRDefault="00AB5B59" w:rsidP="00AB5B59">
      <w:pPr>
        <w:tabs>
          <w:tab w:val="left" w:pos="720"/>
        </w:tabs>
        <w:ind w:left="720" w:hanging="720"/>
        <w:rPr>
          <w:sz w:val="24"/>
          <w:szCs w:val="24"/>
        </w:rPr>
      </w:pPr>
      <w:r>
        <w:rPr>
          <w:sz w:val="24"/>
          <w:szCs w:val="24"/>
        </w:rPr>
        <w:t>2.1</w:t>
      </w:r>
      <w:r>
        <w:rPr>
          <w:sz w:val="24"/>
          <w:szCs w:val="24"/>
        </w:rPr>
        <w:tab/>
        <w:t>The Cabinet approved draft proposals for the Council’s Medium Term Financial Strategy on 2 November 2020 and in accordance with the Council’s Constitution for developing the budget, these were referred to Overview and Scrutiny Committee (Corporate Resources) for scrutinising.</w:t>
      </w:r>
    </w:p>
    <w:p w14:paraId="7F2BEA1D" w14:textId="77777777" w:rsidR="00AB5B59" w:rsidRDefault="00AB5B59" w:rsidP="00AB5B59">
      <w:pPr>
        <w:tabs>
          <w:tab w:val="left" w:pos="720"/>
        </w:tabs>
        <w:ind w:left="720" w:hanging="720"/>
        <w:rPr>
          <w:sz w:val="24"/>
          <w:szCs w:val="24"/>
        </w:rPr>
      </w:pPr>
    </w:p>
    <w:p w14:paraId="52C15C03" w14:textId="77777777" w:rsidR="00AB5B59" w:rsidRDefault="00AB5B59" w:rsidP="00AB5B59">
      <w:pPr>
        <w:tabs>
          <w:tab w:val="left" w:pos="720"/>
        </w:tabs>
        <w:ind w:left="720" w:hanging="720"/>
        <w:rPr>
          <w:sz w:val="24"/>
          <w:szCs w:val="24"/>
        </w:rPr>
      </w:pPr>
      <w:r>
        <w:rPr>
          <w:sz w:val="24"/>
          <w:szCs w:val="24"/>
        </w:rPr>
        <w:t>2.2</w:t>
      </w:r>
      <w:r>
        <w:rPr>
          <w:sz w:val="24"/>
          <w:szCs w:val="24"/>
        </w:rPr>
        <w:tab/>
        <w:t xml:space="preserve">Overview and Scrutiny Committee (Corporate Resources) held an initial meeting on 3 November 2020, to consider the draft proposals and at this meeting it was agreed to establish a working group to look at the complexity of the Executive’s proposals and conclusions from this group were agreed at a further meeting of the Committee on 30 November 2020. Members were supported at these meetings by the Chief Executive </w:t>
      </w:r>
      <w:r>
        <w:rPr>
          <w:sz w:val="24"/>
          <w:szCs w:val="24"/>
        </w:rPr>
        <w:lastRenderedPageBreak/>
        <w:t>Officer, Head of Finance, Financial Services Manager and the Head of Health and Communities. The Working Group also questioned the Portfolio Holder for Corporate and Finance on the Executive’s initial proposals for reductions in budgets for Cultural Services and Community Safety.</w:t>
      </w:r>
    </w:p>
    <w:p w14:paraId="5EF3B422" w14:textId="77777777" w:rsidR="00AB5B59" w:rsidRDefault="00AB5B59" w:rsidP="00AB5B59">
      <w:pPr>
        <w:tabs>
          <w:tab w:val="left" w:pos="720"/>
        </w:tabs>
        <w:ind w:left="720" w:hanging="720"/>
        <w:rPr>
          <w:sz w:val="24"/>
          <w:szCs w:val="24"/>
        </w:rPr>
      </w:pPr>
    </w:p>
    <w:p w14:paraId="46525C69" w14:textId="77777777" w:rsidR="00AB5B59" w:rsidRDefault="00AB5B59" w:rsidP="00AB5B59">
      <w:pPr>
        <w:tabs>
          <w:tab w:val="left" w:pos="720"/>
        </w:tabs>
        <w:ind w:left="720" w:hanging="720"/>
        <w:rPr>
          <w:sz w:val="24"/>
          <w:szCs w:val="24"/>
        </w:rPr>
      </w:pPr>
      <w:r>
        <w:rPr>
          <w:sz w:val="24"/>
          <w:szCs w:val="24"/>
        </w:rPr>
        <w:t>2.3</w:t>
      </w:r>
      <w:r>
        <w:rPr>
          <w:sz w:val="24"/>
          <w:szCs w:val="24"/>
        </w:rPr>
        <w:tab/>
        <w:t>Following the Chancellor of the Exchequer’s Spending Review on 25 November and announcements concerning Revenue Support Grant, New Homes Bonus and the public sector pay freeze for those earning above £24,000, revised proposals from the Executive were considered by the working group.</w:t>
      </w:r>
    </w:p>
    <w:p w14:paraId="60AFFCBD" w14:textId="77777777" w:rsidR="00AB5B59" w:rsidRDefault="00AB5B59" w:rsidP="00AB5B59">
      <w:pPr>
        <w:tabs>
          <w:tab w:val="left" w:pos="720"/>
        </w:tabs>
        <w:ind w:left="720" w:hanging="720"/>
        <w:rPr>
          <w:sz w:val="24"/>
          <w:szCs w:val="24"/>
        </w:rPr>
      </w:pPr>
    </w:p>
    <w:p w14:paraId="5A7FBB45" w14:textId="77777777" w:rsidR="00AB5B59" w:rsidRDefault="00AB5B59" w:rsidP="00AB5B59">
      <w:pPr>
        <w:tabs>
          <w:tab w:val="left" w:pos="720"/>
        </w:tabs>
        <w:ind w:left="720" w:hanging="720"/>
        <w:rPr>
          <w:sz w:val="24"/>
          <w:szCs w:val="24"/>
        </w:rPr>
      </w:pPr>
      <w:r>
        <w:rPr>
          <w:sz w:val="24"/>
          <w:szCs w:val="24"/>
        </w:rPr>
        <w:t>2.3</w:t>
      </w:r>
      <w:r>
        <w:rPr>
          <w:sz w:val="24"/>
          <w:szCs w:val="24"/>
        </w:rPr>
        <w:tab/>
        <w:t xml:space="preserve">In considering the Executive’s proposals, Members were reminded of the statutory requirement for the Council to produce a balanced budget. </w:t>
      </w:r>
    </w:p>
    <w:p w14:paraId="71403362" w14:textId="77777777" w:rsidR="00AB5B59" w:rsidRDefault="00AB5B59" w:rsidP="00AB5B59">
      <w:pPr>
        <w:tabs>
          <w:tab w:val="left" w:pos="720"/>
        </w:tabs>
        <w:rPr>
          <w:sz w:val="24"/>
          <w:szCs w:val="24"/>
        </w:rPr>
      </w:pPr>
    </w:p>
    <w:p w14:paraId="47003754" w14:textId="77777777" w:rsidR="00AB5B59" w:rsidRDefault="00AB5B59" w:rsidP="00AB5B59">
      <w:pPr>
        <w:tabs>
          <w:tab w:val="left" w:pos="720"/>
        </w:tabs>
        <w:ind w:left="720" w:hanging="720"/>
        <w:rPr>
          <w:sz w:val="24"/>
          <w:szCs w:val="24"/>
        </w:rPr>
      </w:pPr>
      <w:r>
        <w:rPr>
          <w:sz w:val="24"/>
          <w:szCs w:val="24"/>
        </w:rPr>
        <w:t>2.4.</w:t>
      </w:r>
      <w:r>
        <w:rPr>
          <w:sz w:val="24"/>
          <w:szCs w:val="24"/>
        </w:rPr>
        <w:tab/>
        <w:t xml:space="preserve">Members were informed that a number of factors had impacted on and would continue to effect the financial planning of the Council which included – </w:t>
      </w:r>
    </w:p>
    <w:p w14:paraId="6E576DC0" w14:textId="77777777" w:rsidR="00AB5B59" w:rsidRDefault="00AB5B59" w:rsidP="00AB5B59">
      <w:pPr>
        <w:tabs>
          <w:tab w:val="left" w:pos="720"/>
        </w:tabs>
        <w:ind w:left="720" w:hanging="720"/>
        <w:rPr>
          <w:sz w:val="24"/>
          <w:szCs w:val="24"/>
        </w:rPr>
      </w:pPr>
    </w:p>
    <w:p w14:paraId="2B1A4F98" w14:textId="77777777" w:rsidR="00AB5B59" w:rsidRDefault="00AB5B59" w:rsidP="00AB5B59">
      <w:pPr>
        <w:numPr>
          <w:ilvl w:val="0"/>
          <w:numId w:val="57"/>
        </w:numPr>
        <w:tabs>
          <w:tab w:val="left" w:pos="720"/>
        </w:tabs>
        <w:rPr>
          <w:sz w:val="24"/>
          <w:szCs w:val="24"/>
        </w:rPr>
      </w:pPr>
      <w:r>
        <w:rPr>
          <w:sz w:val="24"/>
          <w:szCs w:val="24"/>
        </w:rPr>
        <w:t xml:space="preserve">Covid-19 and the impact on the council’s budget in relation to the loss of income and additional expenditure and the impact of national lockdowns and local restrictions on the economic situation. </w:t>
      </w:r>
    </w:p>
    <w:p w14:paraId="2B6C42FA" w14:textId="77777777" w:rsidR="00AB5B59" w:rsidRDefault="00AB5B59" w:rsidP="00AB5B59">
      <w:pPr>
        <w:tabs>
          <w:tab w:val="left" w:pos="720"/>
        </w:tabs>
        <w:rPr>
          <w:sz w:val="24"/>
          <w:szCs w:val="24"/>
        </w:rPr>
      </w:pPr>
    </w:p>
    <w:p w14:paraId="7352329B" w14:textId="77777777" w:rsidR="00AB5B59" w:rsidRDefault="00AB5B59" w:rsidP="00AB5B59">
      <w:pPr>
        <w:numPr>
          <w:ilvl w:val="0"/>
          <w:numId w:val="57"/>
        </w:numPr>
        <w:tabs>
          <w:tab w:val="left" w:pos="720"/>
        </w:tabs>
        <w:rPr>
          <w:sz w:val="24"/>
          <w:szCs w:val="24"/>
        </w:rPr>
      </w:pPr>
      <w:r>
        <w:rPr>
          <w:sz w:val="24"/>
          <w:szCs w:val="24"/>
        </w:rPr>
        <w:t>The economic impact of the decision to leave the European Union and whether a Trade Agreement between the two parties would be agreed.</w:t>
      </w:r>
    </w:p>
    <w:p w14:paraId="336C5095" w14:textId="77777777" w:rsidR="00AB5B59" w:rsidRDefault="00AB5B59" w:rsidP="00AB5B59">
      <w:pPr>
        <w:tabs>
          <w:tab w:val="left" w:pos="720"/>
        </w:tabs>
        <w:rPr>
          <w:sz w:val="24"/>
          <w:szCs w:val="24"/>
        </w:rPr>
      </w:pPr>
    </w:p>
    <w:p w14:paraId="5D5C29BC" w14:textId="77777777" w:rsidR="00AB5B59" w:rsidRDefault="00AB5B59" w:rsidP="00AB5B59">
      <w:pPr>
        <w:numPr>
          <w:ilvl w:val="0"/>
          <w:numId w:val="57"/>
        </w:numPr>
        <w:tabs>
          <w:tab w:val="left" w:pos="720"/>
        </w:tabs>
        <w:rPr>
          <w:sz w:val="24"/>
          <w:szCs w:val="24"/>
        </w:rPr>
      </w:pPr>
      <w:r>
        <w:rPr>
          <w:sz w:val="24"/>
          <w:szCs w:val="24"/>
        </w:rPr>
        <w:t>The impact of inflation and Bank of England interest rates.</w:t>
      </w:r>
      <w:r w:rsidRPr="00766537">
        <w:rPr>
          <w:sz w:val="24"/>
          <w:szCs w:val="24"/>
        </w:rPr>
        <w:t xml:space="preserve"> </w:t>
      </w:r>
    </w:p>
    <w:p w14:paraId="33BA07AF" w14:textId="77777777" w:rsidR="00AB5B59" w:rsidRPr="007D7E30" w:rsidRDefault="00AB5B59" w:rsidP="007D7E30">
      <w:pPr>
        <w:rPr>
          <w:sz w:val="24"/>
          <w:szCs w:val="24"/>
        </w:rPr>
      </w:pPr>
    </w:p>
    <w:p w14:paraId="02C59E1E" w14:textId="77777777" w:rsidR="00AB5B59" w:rsidRPr="00766537" w:rsidRDefault="00AB5B59" w:rsidP="00AB5B59">
      <w:pPr>
        <w:numPr>
          <w:ilvl w:val="0"/>
          <w:numId w:val="57"/>
        </w:numPr>
        <w:tabs>
          <w:tab w:val="left" w:pos="720"/>
        </w:tabs>
        <w:rPr>
          <w:sz w:val="24"/>
          <w:szCs w:val="24"/>
        </w:rPr>
      </w:pPr>
      <w:r>
        <w:rPr>
          <w:sz w:val="24"/>
          <w:szCs w:val="24"/>
        </w:rPr>
        <w:t>Government decisions on the Fair Funding Review, Business Rates income, Revenue Support Grant and the multi-year Comprehensive Spending Review.</w:t>
      </w:r>
    </w:p>
    <w:p w14:paraId="724F9AB2" w14:textId="77777777" w:rsidR="00AB5B59" w:rsidRDefault="00AB5B59" w:rsidP="00AB5B59">
      <w:pPr>
        <w:rPr>
          <w:sz w:val="24"/>
          <w:szCs w:val="24"/>
        </w:rPr>
      </w:pPr>
    </w:p>
    <w:p w14:paraId="72EE888A" w14:textId="77777777" w:rsidR="00AB5B59" w:rsidRDefault="00AB5B59" w:rsidP="00AB5B59">
      <w:pPr>
        <w:rPr>
          <w:b/>
          <w:sz w:val="24"/>
          <w:szCs w:val="24"/>
        </w:rPr>
      </w:pPr>
      <w:r>
        <w:rPr>
          <w:sz w:val="24"/>
          <w:szCs w:val="24"/>
        </w:rPr>
        <w:t>2.5</w:t>
      </w:r>
      <w:r>
        <w:rPr>
          <w:sz w:val="24"/>
          <w:szCs w:val="24"/>
        </w:rPr>
        <w:tab/>
      </w:r>
      <w:r>
        <w:rPr>
          <w:b/>
          <w:sz w:val="24"/>
          <w:szCs w:val="24"/>
        </w:rPr>
        <w:t>General Fund and Housing Revenue Account Revenue Budgets</w:t>
      </w:r>
    </w:p>
    <w:p w14:paraId="43F8F9DD" w14:textId="77777777" w:rsidR="00AB5B59" w:rsidRDefault="00AB5B59" w:rsidP="00AB5B59">
      <w:pPr>
        <w:rPr>
          <w:b/>
          <w:sz w:val="24"/>
          <w:szCs w:val="24"/>
        </w:rPr>
      </w:pPr>
    </w:p>
    <w:p w14:paraId="41966422" w14:textId="77777777" w:rsidR="00AB5B59" w:rsidRDefault="00AB5B59" w:rsidP="00AB5B59">
      <w:pPr>
        <w:ind w:left="720" w:hanging="720"/>
        <w:rPr>
          <w:sz w:val="24"/>
          <w:szCs w:val="24"/>
        </w:rPr>
      </w:pPr>
      <w:r>
        <w:rPr>
          <w:sz w:val="24"/>
          <w:szCs w:val="24"/>
        </w:rPr>
        <w:t>2.6</w:t>
      </w:r>
      <w:r>
        <w:rPr>
          <w:sz w:val="24"/>
          <w:szCs w:val="24"/>
        </w:rPr>
        <w:tab/>
        <w:t>The Committee was reminded of the statutory requirement under the Local Government Act 2003 to have set a balanced budget by the start of a financial year and that the Local Government Finance Act required Billing Authorities such as the Council to have set the Council Tax by the 11 March before the start of the financial year.</w:t>
      </w:r>
    </w:p>
    <w:p w14:paraId="418C45D1" w14:textId="77777777" w:rsidR="00AB5B59" w:rsidRDefault="00AB5B59" w:rsidP="00AB5B59">
      <w:pPr>
        <w:ind w:left="720"/>
        <w:rPr>
          <w:sz w:val="24"/>
          <w:szCs w:val="24"/>
        </w:rPr>
      </w:pPr>
    </w:p>
    <w:p w14:paraId="3D5F381F" w14:textId="77777777" w:rsidR="00AB5B59" w:rsidRDefault="00AB5B59" w:rsidP="00AB5B59">
      <w:pPr>
        <w:ind w:left="720" w:hanging="720"/>
        <w:rPr>
          <w:sz w:val="24"/>
          <w:szCs w:val="24"/>
        </w:rPr>
      </w:pPr>
      <w:r>
        <w:rPr>
          <w:sz w:val="24"/>
          <w:szCs w:val="24"/>
        </w:rPr>
        <w:lastRenderedPageBreak/>
        <w:t>2.7</w:t>
      </w:r>
      <w:r>
        <w:rPr>
          <w:sz w:val="24"/>
          <w:szCs w:val="24"/>
        </w:rPr>
        <w:tab/>
        <w:t>Details of the proposed General Fund budgets for 2021/22, 2022/23 and 2023/24, together with the budget deficits for each year were submitted for the Committee’s consideration. Members were advised of the assumptions used to develop the proposed budgets which included Government grants, business rates, Council Tax, fees and charges, New Homes Bonus, use and review of General Fund balances and earmarked reserves.</w:t>
      </w:r>
    </w:p>
    <w:p w14:paraId="08F8C4E6" w14:textId="77777777" w:rsidR="00AB5B59" w:rsidRDefault="00AB5B59" w:rsidP="00AB5B59">
      <w:pPr>
        <w:ind w:left="720" w:hanging="720"/>
        <w:rPr>
          <w:sz w:val="24"/>
          <w:szCs w:val="24"/>
        </w:rPr>
      </w:pPr>
    </w:p>
    <w:p w14:paraId="4AA6518B" w14:textId="77777777" w:rsidR="00AB5B59" w:rsidRDefault="00AB5B59" w:rsidP="00AB5B59">
      <w:pPr>
        <w:ind w:left="720" w:hanging="720"/>
        <w:rPr>
          <w:sz w:val="24"/>
          <w:szCs w:val="24"/>
        </w:rPr>
      </w:pPr>
      <w:r>
        <w:rPr>
          <w:sz w:val="24"/>
          <w:szCs w:val="24"/>
        </w:rPr>
        <w:t>2.7</w:t>
      </w:r>
      <w:r>
        <w:rPr>
          <w:sz w:val="24"/>
          <w:szCs w:val="24"/>
        </w:rPr>
        <w:tab/>
        <w:t>Members were advised that transformation savings totalling £1.922m had been included in the 2021/22 General Fund budget and work was currently being pursued to either reduce the Council expenditure either by reductions in its establishment or through the generation of additional income. If the savings are not generated this will increase the deficits in future years.</w:t>
      </w:r>
    </w:p>
    <w:p w14:paraId="69931EDB" w14:textId="77777777" w:rsidR="00AB5B59" w:rsidRDefault="00AB5B59" w:rsidP="00AB5B59">
      <w:pPr>
        <w:ind w:left="720" w:hanging="720"/>
        <w:rPr>
          <w:sz w:val="24"/>
          <w:szCs w:val="24"/>
        </w:rPr>
      </w:pPr>
    </w:p>
    <w:p w14:paraId="4C139DD6" w14:textId="77777777" w:rsidR="00AB5B59" w:rsidRPr="003B272F" w:rsidRDefault="00AB5B59" w:rsidP="00AB5B59">
      <w:pPr>
        <w:ind w:left="720" w:hanging="720"/>
        <w:rPr>
          <w:sz w:val="24"/>
          <w:szCs w:val="24"/>
        </w:rPr>
      </w:pPr>
      <w:r>
        <w:rPr>
          <w:sz w:val="24"/>
          <w:szCs w:val="24"/>
        </w:rPr>
        <w:t>2.8</w:t>
      </w:r>
      <w:r>
        <w:rPr>
          <w:sz w:val="24"/>
          <w:szCs w:val="24"/>
        </w:rPr>
        <w:tab/>
        <w:t>The 2021/22 budget contained a deficit of £830,000 and the working group considered the Executive’s proposals to deal with it.</w:t>
      </w:r>
    </w:p>
    <w:p w14:paraId="279AF243" w14:textId="77777777" w:rsidR="00AB5B59" w:rsidRPr="003B272F" w:rsidRDefault="00AB5B59" w:rsidP="00AB5B59">
      <w:pPr>
        <w:ind w:left="720" w:hanging="720"/>
        <w:rPr>
          <w:sz w:val="24"/>
          <w:szCs w:val="24"/>
        </w:rPr>
      </w:pPr>
    </w:p>
    <w:p w14:paraId="7E4CADCE" w14:textId="77777777" w:rsidR="00AB5B59" w:rsidRDefault="00AB5B59" w:rsidP="00AB5B59">
      <w:pPr>
        <w:ind w:left="720" w:hanging="720"/>
        <w:rPr>
          <w:sz w:val="24"/>
          <w:szCs w:val="24"/>
        </w:rPr>
      </w:pPr>
      <w:r>
        <w:rPr>
          <w:sz w:val="24"/>
          <w:szCs w:val="24"/>
        </w:rPr>
        <w:t>2.9</w:t>
      </w:r>
      <w:r>
        <w:rPr>
          <w:sz w:val="24"/>
          <w:szCs w:val="24"/>
        </w:rPr>
        <w:tab/>
        <w:t>These proposals included reductions in expenditure for Cultural Services, Community Safety, Ward Allowances, publication of My Mansfield and increases in car parking charges including Mansfield Woodhouse train station, Council Tax and the use of 2019/20 underspend from reserves.</w:t>
      </w:r>
    </w:p>
    <w:p w14:paraId="5EB4C440" w14:textId="77777777" w:rsidR="00AB5B59" w:rsidRDefault="00AB5B59" w:rsidP="00AB5B59">
      <w:pPr>
        <w:ind w:left="720" w:hanging="720"/>
        <w:rPr>
          <w:sz w:val="24"/>
          <w:szCs w:val="24"/>
        </w:rPr>
      </w:pPr>
    </w:p>
    <w:p w14:paraId="57D9B460" w14:textId="77777777" w:rsidR="00AB5B59" w:rsidRPr="003B272F" w:rsidRDefault="00AB5B59" w:rsidP="00AB5B59">
      <w:pPr>
        <w:ind w:left="720" w:hanging="720"/>
        <w:rPr>
          <w:sz w:val="24"/>
          <w:szCs w:val="24"/>
        </w:rPr>
      </w:pPr>
      <w:r>
        <w:rPr>
          <w:sz w:val="24"/>
          <w:szCs w:val="24"/>
        </w:rPr>
        <w:t>2.10</w:t>
      </w:r>
      <w:r>
        <w:rPr>
          <w:sz w:val="24"/>
          <w:szCs w:val="24"/>
        </w:rPr>
        <w:tab/>
        <w:t xml:space="preserve">The Committee were briefed by the Chief Executive Officer on work undertaken in the Cultural Services and Community Safety services as a result of vacant posts, service realignments and the identification of efficiencies. </w:t>
      </w:r>
    </w:p>
    <w:p w14:paraId="55E99AA5" w14:textId="77777777" w:rsidR="00AB5B59" w:rsidRDefault="00AB5B59" w:rsidP="00AB5B59">
      <w:pPr>
        <w:rPr>
          <w:sz w:val="24"/>
          <w:szCs w:val="24"/>
        </w:rPr>
      </w:pPr>
      <w:r>
        <w:rPr>
          <w:sz w:val="24"/>
          <w:szCs w:val="24"/>
        </w:rPr>
        <w:tab/>
      </w:r>
    </w:p>
    <w:p w14:paraId="7DDE88A0" w14:textId="77777777" w:rsidR="00AB5B59" w:rsidRDefault="00AB5B59" w:rsidP="00AB5B59">
      <w:pPr>
        <w:ind w:left="720" w:hanging="720"/>
        <w:rPr>
          <w:sz w:val="24"/>
          <w:szCs w:val="24"/>
        </w:rPr>
      </w:pPr>
      <w:r>
        <w:rPr>
          <w:sz w:val="24"/>
          <w:szCs w:val="24"/>
        </w:rPr>
        <w:t>2.11</w:t>
      </w:r>
      <w:r>
        <w:rPr>
          <w:sz w:val="24"/>
          <w:szCs w:val="24"/>
        </w:rPr>
        <w:tab/>
        <w:t xml:space="preserve">The majority of the Committee supported that Council Tax be increased by £5.00 on a band D property, which would bring a sustainable income to the Council and assist with future budget deficits. </w:t>
      </w:r>
    </w:p>
    <w:p w14:paraId="5D2C566A" w14:textId="77777777" w:rsidR="00AB5B59" w:rsidRDefault="00AB5B59" w:rsidP="00AB5B59">
      <w:pPr>
        <w:ind w:left="720"/>
        <w:rPr>
          <w:sz w:val="24"/>
          <w:szCs w:val="24"/>
        </w:rPr>
      </w:pPr>
    </w:p>
    <w:p w14:paraId="08FBF6C1" w14:textId="77777777" w:rsidR="00AB5B59" w:rsidRDefault="00AB5B59" w:rsidP="00AB5B59">
      <w:pPr>
        <w:ind w:left="720" w:hanging="720"/>
        <w:rPr>
          <w:sz w:val="24"/>
          <w:szCs w:val="24"/>
        </w:rPr>
      </w:pPr>
      <w:r>
        <w:rPr>
          <w:sz w:val="24"/>
          <w:szCs w:val="24"/>
        </w:rPr>
        <w:t>2.12</w:t>
      </w:r>
      <w:r>
        <w:rPr>
          <w:sz w:val="24"/>
          <w:szCs w:val="24"/>
        </w:rPr>
        <w:tab/>
        <w:t>Members were aware of the cumulative impact on residents of recommending an increase in Council Tax, together with recent increases in the Council Tax precept from Nottinghamshire County Council, the Police and Crime Commissioner and the Fire and Rescue Service.</w:t>
      </w:r>
    </w:p>
    <w:p w14:paraId="45360036" w14:textId="77777777" w:rsidR="00AB5B59" w:rsidRDefault="00AB5B59" w:rsidP="00AB5B59">
      <w:pPr>
        <w:ind w:left="720" w:hanging="720"/>
        <w:rPr>
          <w:sz w:val="24"/>
          <w:szCs w:val="24"/>
        </w:rPr>
      </w:pPr>
    </w:p>
    <w:p w14:paraId="43B2F700" w14:textId="77777777" w:rsidR="00AB5B59" w:rsidRDefault="00AB5B59" w:rsidP="00AB5B59">
      <w:pPr>
        <w:ind w:left="720" w:hanging="720"/>
        <w:rPr>
          <w:sz w:val="24"/>
          <w:szCs w:val="24"/>
        </w:rPr>
      </w:pPr>
      <w:r>
        <w:rPr>
          <w:sz w:val="24"/>
          <w:szCs w:val="24"/>
        </w:rPr>
        <w:t>2.13</w:t>
      </w:r>
      <w:r>
        <w:rPr>
          <w:sz w:val="24"/>
          <w:szCs w:val="24"/>
        </w:rPr>
        <w:tab/>
        <w:t>Members did not support the proposal to reduce the ward allowance as it had a significant impact on community groups and individuals who required support.</w:t>
      </w:r>
    </w:p>
    <w:p w14:paraId="43BA9D9B" w14:textId="77777777" w:rsidR="00AB5B59" w:rsidRDefault="00AB5B59" w:rsidP="00AB5B59">
      <w:pPr>
        <w:ind w:left="720" w:hanging="720"/>
        <w:rPr>
          <w:sz w:val="24"/>
          <w:szCs w:val="24"/>
        </w:rPr>
      </w:pPr>
    </w:p>
    <w:p w14:paraId="693D1EA5" w14:textId="77777777" w:rsidR="00AB5B59" w:rsidRDefault="00AB5B59" w:rsidP="00AB5B59">
      <w:pPr>
        <w:ind w:left="720" w:hanging="720"/>
        <w:rPr>
          <w:sz w:val="24"/>
          <w:szCs w:val="24"/>
        </w:rPr>
      </w:pPr>
      <w:r>
        <w:rPr>
          <w:sz w:val="24"/>
          <w:szCs w:val="24"/>
        </w:rPr>
        <w:lastRenderedPageBreak/>
        <w:t>2.14</w:t>
      </w:r>
      <w:r>
        <w:rPr>
          <w:sz w:val="24"/>
          <w:szCs w:val="24"/>
        </w:rPr>
        <w:tab/>
        <w:t>Reduction of the My Mansfield from three publications to one was also not supported, however, members did support a reduction in one issue to enable two issues to be published annually. Members felt that there was value in a publication being delivered to each property in the district to notify residents of important Council information and the advertise events.</w:t>
      </w:r>
    </w:p>
    <w:p w14:paraId="68CD89E3" w14:textId="77777777" w:rsidR="00AB5B59" w:rsidRDefault="00AB5B59" w:rsidP="00AB5B59">
      <w:pPr>
        <w:ind w:left="720" w:hanging="720"/>
        <w:rPr>
          <w:sz w:val="24"/>
          <w:szCs w:val="24"/>
        </w:rPr>
      </w:pPr>
    </w:p>
    <w:p w14:paraId="302FC386" w14:textId="77777777" w:rsidR="00AB5B59" w:rsidRDefault="00AB5B59" w:rsidP="00AB5B59">
      <w:pPr>
        <w:ind w:left="720" w:hanging="720"/>
        <w:rPr>
          <w:sz w:val="24"/>
          <w:szCs w:val="24"/>
        </w:rPr>
      </w:pPr>
      <w:r>
        <w:rPr>
          <w:sz w:val="24"/>
          <w:szCs w:val="24"/>
        </w:rPr>
        <w:t>2.15</w:t>
      </w:r>
      <w:r>
        <w:rPr>
          <w:sz w:val="24"/>
          <w:szCs w:val="24"/>
        </w:rPr>
        <w:tab/>
        <w:t>A reduction in the Special Responsibility Allowances of 10% was proposed and supported by the Group, which had within its membership three Committee Chairs. It was noted that the view of the Council’s Independent Panel into Members’ Allowances may be required as the proposal was an amendment to the current Scheme of Member Allowances approved by Council in March 2019.</w:t>
      </w:r>
    </w:p>
    <w:p w14:paraId="336CC166" w14:textId="77777777" w:rsidR="00AB5B59" w:rsidRDefault="00AB5B59" w:rsidP="00AB5B59">
      <w:pPr>
        <w:ind w:left="720" w:hanging="720"/>
        <w:rPr>
          <w:sz w:val="24"/>
          <w:szCs w:val="24"/>
        </w:rPr>
      </w:pPr>
    </w:p>
    <w:p w14:paraId="6E443819" w14:textId="77777777" w:rsidR="00AB5B59" w:rsidRDefault="00AB5B59" w:rsidP="00AB5B59">
      <w:pPr>
        <w:ind w:left="720" w:hanging="720"/>
        <w:rPr>
          <w:sz w:val="24"/>
          <w:szCs w:val="24"/>
        </w:rPr>
      </w:pPr>
      <w:r>
        <w:rPr>
          <w:sz w:val="24"/>
          <w:szCs w:val="24"/>
        </w:rPr>
        <w:t>2.16</w:t>
      </w:r>
      <w:r>
        <w:rPr>
          <w:sz w:val="24"/>
          <w:szCs w:val="24"/>
        </w:rPr>
        <w:tab/>
        <w:t>Following the Chancellor’s Spending Review announcements, the Working Group was advised of the significant impact of the announcements on the budget proposals and that as a result the Executive were no longer proposing budget reductions in Cultural Services, Community Safety and increasing car park charges beyond the inflationary increase, except for the train station car park at Mansfield Woodhouse.</w:t>
      </w:r>
    </w:p>
    <w:p w14:paraId="4A291350" w14:textId="77777777" w:rsidR="00AB5B59" w:rsidRDefault="00AB5B59" w:rsidP="00AB5B59">
      <w:pPr>
        <w:ind w:left="720" w:hanging="720"/>
        <w:rPr>
          <w:sz w:val="24"/>
          <w:szCs w:val="24"/>
        </w:rPr>
      </w:pPr>
    </w:p>
    <w:p w14:paraId="24D6C433" w14:textId="77777777" w:rsidR="00AB5B59" w:rsidRDefault="00AB5B59" w:rsidP="00AB5B59">
      <w:pPr>
        <w:ind w:left="720" w:hanging="720"/>
        <w:rPr>
          <w:sz w:val="24"/>
          <w:szCs w:val="24"/>
        </w:rPr>
      </w:pPr>
      <w:r>
        <w:rPr>
          <w:sz w:val="24"/>
          <w:szCs w:val="24"/>
        </w:rPr>
        <w:t>2.17</w:t>
      </w:r>
      <w:r>
        <w:rPr>
          <w:sz w:val="24"/>
          <w:szCs w:val="24"/>
        </w:rPr>
        <w:tab/>
        <w:t xml:space="preserve">However, the Committee recognised that some elements of the both Cultural Services and Community Safety reviews would be progressed through the corporate transformation process. </w:t>
      </w:r>
    </w:p>
    <w:p w14:paraId="5E318DBA" w14:textId="77777777" w:rsidR="00AB5B59" w:rsidRDefault="00AB5B59" w:rsidP="00AB5B59">
      <w:pPr>
        <w:ind w:left="720" w:hanging="720"/>
        <w:rPr>
          <w:sz w:val="24"/>
          <w:szCs w:val="24"/>
        </w:rPr>
      </w:pPr>
    </w:p>
    <w:p w14:paraId="2E16F110" w14:textId="77777777" w:rsidR="00AB5B59" w:rsidRDefault="00AB5B59" w:rsidP="00AB5B59">
      <w:pPr>
        <w:ind w:left="720" w:hanging="720"/>
        <w:rPr>
          <w:sz w:val="24"/>
          <w:szCs w:val="24"/>
        </w:rPr>
      </w:pPr>
      <w:r>
        <w:rPr>
          <w:sz w:val="24"/>
          <w:szCs w:val="24"/>
        </w:rPr>
        <w:t>2.18</w:t>
      </w:r>
      <w:r>
        <w:rPr>
          <w:sz w:val="24"/>
          <w:szCs w:val="24"/>
        </w:rPr>
        <w:tab/>
        <w:t xml:space="preserve">The majority of members continued to support an increase in Council Tax as outlined in 2.11 and the same concerns were also repeated on the cumulative impact of other increases from the </w:t>
      </w:r>
      <w:proofErr w:type="spellStart"/>
      <w:r>
        <w:rPr>
          <w:sz w:val="24"/>
          <w:szCs w:val="24"/>
        </w:rPr>
        <w:t>precepting</w:t>
      </w:r>
      <w:proofErr w:type="spellEnd"/>
      <w:r>
        <w:rPr>
          <w:sz w:val="24"/>
          <w:szCs w:val="24"/>
        </w:rPr>
        <w:t xml:space="preserve"> bodies.</w:t>
      </w:r>
    </w:p>
    <w:p w14:paraId="412ABA25" w14:textId="77777777" w:rsidR="00AB5B59" w:rsidRDefault="00AB5B59" w:rsidP="00AB5B59">
      <w:pPr>
        <w:ind w:left="720" w:hanging="720"/>
        <w:rPr>
          <w:sz w:val="24"/>
          <w:szCs w:val="24"/>
        </w:rPr>
      </w:pPr>
    </w:p>
    <w:p w14:paraId="1F33F449" w14:textId="77777777" w:rsidR="00AB5B59" w:rsidRDefault="00AB5B59" w:rsidP="00AB5B59">
      <w:pPr>
        <w:ind w:left="720" w:hanging="720"/>
        <w:rPr>
          <w:sz w:val="24"/>
          <w:szCs w:val="24"/>
        </w:rPr>
      </w:pPr>
      <w:r>
        <w:rPr>
          <w:sz w:val="24"/>
          <w:szCs w:val="24"/>
        </w:rPr>
        <w:t>2.19</w:t>
      </w:r>
      <w:r>
        <w:rPr>
          <w:sz w:val="24"/>
          <w:szCs w:val="24"/>
        </w:rPr>
        <w:tab/>
        <w:t>The Committee was advised that a 2% increase had been used for setting fees and charges for 2020/21, which was in line with the Bank of England’s inflation target over the medium term. This approach was supported.</w:t>
      </w:r>
    </w:p>
    <w:p w14:paraId="272F5C01" w14:textId="77777777" w:rsidR="00AB5B59" w:rsidRDefault="00AB5B59" w:rsidP="00AB5B59">
      <w:pPr>
        <w:ind w:left="720" w:hanging="720"/>
        <w:rPr>
          <w:sz w:val="24"/>
          <w:szCs w:val="24"/>
        </w:rPr>
      </w:pPr>
    </w:p>
    <w:p w14:paraId="5EE950C7" w14:textId="77777777" w:rsidR="00AB5B59" w:rsidRDefault="00AB5B59" w:rsidP="00AB5B59">
      <w:pPr>
        <w:ind w:left="720" w:hanging="720"/>
        <w:rPr>
          <w:sz w:val="24"/>
          <w:szCs w:val="24"/>
        </w:rPr>
      </w:pPr>
      <w:r>
        <w:rPr>
          <w:sz w:val="24"/>
          <w:szCs w:val="24"/>
        </w:rPr>
        <w:t>2.20</w:t>
      </w:r>
      <w:r>
        <w:rPr>
          <w:sz w:val="24"/>
          <w:szCs w:val="24"/>
        </w:rPr>
        <w:tab/>
        <w:t>Members continued to support the increase in car parking charges at the Mansfield Woodhouse train station from £1.00 to £2.00 for all day as it was a reasonable charge.</w:t>
      </w:r>
    </w:p>
    <w:p w14:paraId="37CCC7E6" w14:textId="77777777" w:rsidR="00AB5B59" w:rsidRDefault="00AB5B59" w:rsidP="00AB5B59">
      <w:pPr>
        <w:ind w:left="720" w:hanging="720"/>
        <w:rPr>
          <w:sz w:val="24"/>
          <w:szCs w:val="24"/>
        </w:rPr>
      </w:pPr>
    </w:p>
    <w:p w14:paraId="461D81B8" w14:textId="77777777" w:rsidR="00AB5B59" w:rsidRDefault="00AB5B59" w:rsidP="00AB5B59">
      <w:pPr>
        <w:ind w:left="720" w:hanging="720"/>
        <w:rPr>
          <w:sz w:val="24"/>
          <w:szCs w:val="24"/>
        </w:rPr>
      </w:pPr>
      <w:r>
        <w:rPr>
          <w:sz w:val="24"/>
          <w:szCs w:val="24"/>
        </w:rPr>
        <w:t>2.21</w:t>
      </w:r>
      <w:r>
        <w:rPr>
          <w:sz w:val="24"/>
          <w:szCs w:val="24"/>
        </w:rPr>
        <w:tab/>
        <w:t>The reduction by the Executive Mayor of the number of members on the Executive was noted.</w:t>
      </w:r>
    </w:p>
    <w:p w14:paraId="75064E66" w14:textId="77777777" w:rsidR="00AB5B59" w:rsidRDefault="00AB5B59" w:rsidP="00AB5B59">
      <w:pPr>
        <w:ind w:left="720" w:hanging="720"/>
        <w:rPr>
          <w:sz w:val="24"/>
          <w:szCs w:val="24"/>
        </w:rPr>
      </w:pPr>
    </w:p>
    <w:p w14:paraId="0DFAA81A" w14:textId="77777777" w:rsidR="00AB5B59" w:rsidRDefault="00AB5B59" w:rsidP="00AB5B59">
      <w:pPr>
        <w:ind w:left="720" w:hanging="720"/>
        <w:rPr>
          <w:sz w:val="24"/>
          <w:szCs w:val="24"/>
        </w:rPr>
      </w:pPr>
      <w:r>
        <w:rPr>
          <w:sz w:val="24"/>
          <w:szCs w:val="24"/>
        </w:rPr>
        <w:lastRenderedPageBreak/>
        <w:t>2.22</w:t>
      </w:r>
      <w:r>
        <w:rPr>
          <w:sz w:val="24"/>
          <w:szCs w:val="24"/>
        </w:rPr>
        <w:tab/>
        <w:t>Members continued to support the reduction of My Mansfield to two publication each year.</w:t>
      </w:r>
    </w:p>
    <w:p w14:paraId="640FA976" w14:textId="77777777" w:rsidR="00AB5B59" w:rsidRDefault="00AB5B59" w:rsidP="00AB5B59">
      <w:pPr>
        <w:ind w:left="720" w:hanging="720"/>
        <w:rPr>
          <w:sz w:val="24"/>
          <w:szCs w:val="24"/>
        </w:rPr>
      </w:pPr>
    </w:p>
    <w:p w14:paraId="47E500AA" w14:textId="77777777" w:rsidR="00AB5B59" w:rsidRDefault="00AB5B59" w:rsidP="00AB5B59">
      <w:pPr>
        <w:ind w:left="720" w:hanging="720"/>
        <w:rPr>
          <w:sz w:val="24"/>
          <w:szCs w:val="24"/>
        </w:rPr>
      </w:pPr>
      <w:r>
        <w:rPr>
          <w:sz w:val="24"/>
          <w:szCs w:val="24"/>
        </w:rPr>
        <w:t>2.23</w:t>
      </w:r>
      <w:r>
        <w:rPr>
          <w:sz w:val="24"/>
          <w:szCs w:val="24"/>
        </w:rPr>
        <w:tab/>
        <w:t>The reduction in Special Responsibility Allowance continued to be supported, including by the three Committee Chairs who received the allowance.</w:t>
      </w:r>
    </w:p>
    <w:p w14:paraId="375749B5" w14:textId="77777777" w:rsidR="00AB5B59" w:rsidRDefault="00AB5B59" w:rsidP="00AB5B59">
      <w:pPr>
        <w:ind w:left="720" w:hanging="720"/>
        <w:rPr>
          <w:sz w:val="24"/>
          <w:szCs w:val="24"/>
        </w:rPr>
      </w:pPr>
    </w:p>
    <w:p w14:paraId="2AB37754" w14:textId="77777777" w:rsidR="00AB5B59" w:rsidRDefault="00AB5B59" w:rsidP="00AB5B59">
      <w:pPr>
        <w:ind w:left="720" w:hanging="720"/>
        <w:rPr>
          <w:sz w:val="24"/>
          <w:szCs w:val="24"/>
        </w:rPr>
      </w:pPr>
      <w:r>
        <w:rPr>
          <w:sz w:val="24"/>
          <w:szCs w:val="24"/>
        </w:rPr>
        <w:t>2.24</w:t>
      </w:r>
      <w:r>
        <w:rPr>
          <w:sz w:val="24"/>
          <w:szCs w:val="24"/>
        </w:rPr>
        <w:tab/>
        <w:t>Member were mindful that as some information regarding the budget was still to be finalised and that if any surplus was generated it be transferred to the Council’s Economic Stimulus Fund, to support economic regeneration in the district.</w:t>
      </w:r>
    </w:p>
    <w:p w14:paraId="41F58B6F" w14:textId="77777777" w:rsidR="00AB5B59" w:rsidRDefault="00AB5B59" w:rsidP="00AB5B59">
      <w:pPr>
        <w:rPr>
          <w:i/>
          <w:sz w:val="24"/>
          <w:szCs w:val="24"/>
          <w:u w:val="single"/>
        </w:rPr>
      </w:pPr>
    </w:p>
    <w:p w14:paraId="03F30AD4" w14:textId="77777777" w:rsidR="00AB5B59" w:rsidRPr="003B272F" w:rsidRDefault="00AB5B59" w:rsidP="00AB5B59">
      <w:pPr>
        <w:ind w:left="720" w:hanging="720"/>
        <w:rPr>
          <w:sz w:val="24"/>
          <w:szCs w:val="24"/>
        </w:rPr>
      </w:pPr>
      <w:r>
        <w:rPr>
          <w:sz w:val="24"/>
          <w:szCs w:val="24"/>
        </w:rPr>
        <w:t>2.24</w:t>
      </w:r>
      <w:r>
        <w:rPr>
          <w:sz w:val="24"/>
          <w:szCs w:val="24"/>
        </w:rPr>
        <w:tab/>
      </w:r>
      <w:r w:rsidRPr="003B272F">
        <w:rPr>
          <w:sz w:val="24"/>
          <w:szCs w:val="24"/>
        </w:rPr>
        <w:t>Members were advised that the Housing Revenue Account sho</w:t>
      </w:r>
      <w:r>
        <w:rPr>
          <w:sz w:val="24"/>
          <w:szCs w:val="24"/>
        </w:rPr>
        <w:t>wed a balanced position for 2021/22 and deficits for the following two financial years</w:t>
      </w:r>
      <w:r w:rsidRPr="003B272F">
        <w:rPr>
          <w:sz w:val="24"/>
          <w:szCs w:val="24"/>
        </w:rPr>
        <w:t>.</w:t>
      </w:r>
    </w:p>
    <w:p w14:paraId="1DF310E7" w14:textId="77777777" w:rsidR="00AB5B59" w:rsidRPr="003B272F" w:rsidRDefault="00AB5B59" w:rsidP="00AB5B59">
      <w:pPr>
        <w:ind w:left="720" w:hanging="720"/>
        <w:rPr>
          <w:sz w:val="24"/>
          <w:szCs w:val="24"/>
        </w:rPr>
      </w:pPr>
    </w:p>
    <w:p w14:paraId="10DC3601" w14:textId="77777777" w:rsidR="00AB5B59" w:rsidRDefault="00AB5B59" w:rsidP="00AB5B59">
      <w:pPr>
        <w:ind w:left="720" w:hanging="720"/>
        <w:rPr>
          <w:sz w:val="24"/>
          <w:szCs w:val="24"/>
        </w:rPr>
      </w:pPr>
      <w:r>
        <w:rPr>
          <w:sz w:val="24"/>
          <w:szCs w:val="24"/>
        </w:rPr>
        <w:t>2.25</w:t>
      </w:r>
      <w:r>
        <w:rPr>
          <w:sz w:val="24"/>
          <w:szCs w:val="24"/>
        </w:rPr>
        <w:tab/>
      </w:r>
      <w:r w:rsidRPr="003B272F">
        <w:rPr>
          <w:sz w:val="24"/>
          <w:szCs w:val="24"/>
        </w:rPr>
        <w:t>The Committee was advised that it was proposed to increase Council dwe</w:t>
      </w:r>
      <w:r>
        <w:rPr>
          <w:sz w:val="24"/>
          <w:szCs w:val="24"/>
        </w:rPr>
        <w:t>lling rents for 2021/22 and for future years by CPIH plus 1% and</w:t>
      </w:r>
      <w:r w:rsidRPr="003B272F">
        <w:rPr>
          <w:sz w:val="24"/>
          <w:szCs w:val="24"/>
        </w:rPr>
        <w:t xml:space="preserve"> which had been assumed in the proposed budget</w:t>
      </w:r>
      <w:r>
        <w:rPr>
          <w:sz w:val="24"/>
          <w:szCs w:val="24"/>
        </w:rPr>
        <w:t>, which was in line with Central Government’s guideline rents</w:t>
      </w:r>
      <w:r w:rsidRPr="003B272F">
        <w:rPr>
          <w:sz w:val="24"/>
          <w:szCs w:val="24"/>
        </w:rPr>
        <w:t>.</w:t>
      </w:r>
    </w:p>
    <w:p w14:paraId="6B106DCC" w14:textId="77777777" w:rsidR="00AB5B59" w:rsidRPr="006B1325" w:rsidRDefault="00AB5B59" w:rsidP="00AB5B59">
      <w:pPr>
        <w:rPr>
          <w:sz w:val="24"/>
          <w:szCs w:val="24"/>
        </w:rPr>
      </w:pPr>
    </w:p>
    <w:p w14:paraId="7051161B" w14:textId="77777777" w:rsidR="00AB5B59" w:rsidRDefault="00AB5B59" w:rsidP="00AB5B59">
      <w:pPr>
        <w:ind w:left="720" w:hanging="720"/>
        <w:rPr>
          <w:b/>
          <w:sz w:val="24"/>
          <w:szCs w:val="24"/>
        </w:rPr>
      </w:pPr>
      <w:r w:rsidRPr="002D26E2">
        <w:rPr>
          <w:b/>
          <w:sz w:val="24"/>
          <w:szCs w:val="24"/>
        </w:rPr>
        <w:t>2.</w:t>
      </w:r>
      <w:r>
        <w:rPr>
          <w:b/>
          <w:sz w:val="24"/>
          <w:szCs w:val="24"/>
        </w:rPr>
        <w:t>26</w:t>
      </w:r>
      <w:r w:rsidRPr="006B1325">
        <w:rPr>
          <w:sz w:val="24"/>
          <w:szCs w:val="24"/>
        </w:rPr>
        <w:tab/>
      </w:r>
      <w:r w:rsidRPr="00D950B7">
        <w:rPr>
          <w:b/>
          <w:sz w:val="24"/>
          <w:szCs w:val="24"/>
        </w:rPr>
        <w:t>Consolidat</w:t>
      </w:r>
      <w:r>
        <w:rPr>
          <w:b/>
          <w:sz w:val="24"/>
          <w:szCs w:val="24"/>
        </w:rPr>
        <w:t xml:space="preserve">ed Capital Programme Report </w:t>
      </w:r>
    </w:p>
    <w:p w14:paraId="71C9F255" w14:textId="77777777" w:rsidR="00AB5B59" w:rsidRDefault="00AB5B59" w:rsidP="00AB5B59">
      <w:pPr>
        <w:ind w:left="720" w:hanging="720"/>
        <w:rPr>
          <w:b/>
          <w:sz w:val="24"/>
          <w:szCs w:val="24"/>
        </w:rPr>
      </w:pPr>
    </w:p>
    <w:p w14:paraId="6B628FB4" w14:textId="77777777" w:rsidR="00AB5B59" w:rsidRPr="00D452D0" w:rsidRDefault="00AB5B59" w:rsidP="00AB5B59">
      <w:pPr>
        <w:ind w:left="720" w:hanging="720"/>
        <w:rPr>
          <w:sz w:val="24"/>
          <w:szCs w:val="24"/>
        </w:rPr>
      </w:pPr>
      <w:r>
        <w:rPr>
          <w:b/>
          <w:sz w:val="24"/>
          <w:szCs w:val="24"/>
        </w:rPr>
        <w:tab/>
      </w:r>
      <w:r>
        <w:rPr>
          <w:sz w:val="24"/>
          <w:szCs w:val="24"/>
        </w:rPr>
        <w:t>Details of the Consolidated General Fund and Housing Revenue Account Capital Programmes for 2021/22 to 2023/24, together with the method of their funding were submitted. Both capital programmes were supported.</w:t>
      </w:r>
    </w:p>
    <w:p w14:paraId="3F2FCABA" w14:textId="77777777" w:rsidR="00AB5B59" w:rsidRDefault="00AB5B59" w:rsidP="00AB5B59">
      <w:pPr>
        <w:rPr>
          <w:sz w:val="24"/>
          <w:szCs w:val="24"/>
        </w:rPr>
      </w:pPr>
    </w:p>
    <w:p w14:paraId="27810F6C" w14:textId="77777777" w:rsidR="00AB5B59" w:rsidRDefault="00AB5B59" w:rsidP="00AB5B59">
      <w:pPr>
        <w:ind w:left="720" w:hanging="720"/>
        <w:rPr>
          <w:b/>
          <w:sz w:val="24"/>
          <w:szCs w:val="24"/>
        </w:rPr>
      </w:pPr>
      <w:r w:rsidRPr="00387F04">
        <w:rPr>
          <w:b/>
          <w:sz w:val="24"/>
          <w:szCs w:val="24"/>
        </w:rPr>
        <w:t>3.</w:t>
      </w:r>
      <w:r>
        <w:rPr>
          <w:sz w:val="24"/>
          <w:szCs w:val="24"/>
        </w:rPr>
        <w:tab/>
      </w:r>
      <w:r>
        <w:rPr>
          <w:b/>
          <w:sz w:val="24"/>
          <w:szCs w:val="24"/>
        </w:rPr>
        <w:t>RECOMMENDATIONS AND CONCLUSIONS</w:t>
      </w:r>
    </w:p>
    <w:p w14:paraId="1D397183" w14:textId="77777777" w:rsidR="00AB5B59" w:rsidRDefault="00AB5B59" w:rsidP="00AB5B59">
      <w:pPr>
        <w:ind w:left="720" w:hanging="720"/>
        <w:rPr>
          <w:b/>
          <w:sz w:val="24"/>
          <w:szCs w:val="24"/>
        </w:rPr>
      </w:pPr>
    </w:p>
    <w:p w14:paraId="3FC468CF" w14:textId="77777777" w:rsidR="00AB5B59" w:rsidRPr="00A06CA0" w:rsidRDefault="00AB5B59" w:rsidP="00AB5B59">
      <w:pPr>
        <w:numPr>
          <w:ilvl w:val="0"/>
          <w:numId w:val="58"/>
        </w:numPr>
        <w:rPr>
          <w:sz w:val="24"/>
          <w:szCs w:val="24"/>
        </w:rPr>
      </w:pPr>
      <w:r>
        <w:rPr>
          <w:sz w:val="24"/>
          <w:szCs w:val="24"/>
        </w:rPr>
        <w:t xml:space="preserve">That the effects of the Chancellor’s Spending Review on the proposed Medium Term Financial Strategy be welcomed. </w:t>
      </w:r>
    </w:p>
    <w:p w14:paraId="6CF5AC35" w14:textId="77777777" w:rsidR="00AB5B59" w:rsidRDefault="00AB5B59" w:rsidP="00AB5B59">
      <w:pPr>
        <w:ind w:left="720" w:hanging="720"/>
        <w:rPr>
          <w:b/>
          <w:sz w:val="24"/>
          <w:szCs w:val="24"/>
        </w:rPr>
      </w:pPr>
    </w:p>
    <w:p w14:paraId="27DC5362" w14:textId="77777777" w:rsidR="00AB5B59" w:rsidRDefault="00AB5B59" w:rsidP="00AB5B59">
      <w:pPr>
        <w:numPr>
          <w:ilvl w:val="0"/>
          <w:numId w:val="58"/>
        </w:numPr>
        <w:rPr>
          <w:sz w:val="24"/>
          <w:szCs w:val="24"/>
        </w:rPr>
      </w:pPr>
      <w:r>
        <w:rPr>
          <w:sz w:val="24"/>
          <w:szCs w:val="24"/>
        </w:rPr>
        <w:t>That the proposed increase in the Council’s element of the Council Tax for 2021/22 be supported.</w:t>
      </w:r>
    </w:p>
    <w:p w14:paraId="4A77A041" w14:textId="77777777" w:rsidR="00AB5B59" w:rsidRDefault="00AB5B59" w:rsidP="00AB5B59">
      <w:pPr>
        <w:rPr>
          <w:sz w:val="24"/>
          <w:szCs w:val="24"/>
        </w:rPr>
      </w:pPr>
    </w:p>
    <w:p w14:paraId="6A4BCCA8" w14:textId="77777777" w:rsidR="00AB5B59" w:rsidRDefault="00AB5B59" w:rsidP="00AB5B59">
      <w:pPr>
        <w:numPr>
          <w:ilvl w:val="0"/>
          <w:numId w:val="58"/>
        </w:numPr>
        <w:rPr>
          <w:sz w:val="24"/>
          <w:szCs w:val="24"/>
        </w:rPr>
      </w:pPr>
      <w:r>
        <w:rPr>
          <w:sz w:val="24"/>
          <w:szCs w:val="24"/>
        </w:rPr>
        <w:t>That the increase in the charge at Mansfield Woodhouse train station from £1.00 to £2.00 per day be supported.</w:t>
      </w:r>
    </w:p>
    <w:p w14:paraId="78F72A36" w14:textId="77777777" w:rsidR="00AB5B59" w:rsidRPr="007D7E30" w:rsidRDefault="00AB5B59" w:rsidP="007D7E30">
      <w:pPr>
        <w:rPr>
          <w:sz w:val="24"/>
          <w:szCs w:val="24"/>
        </w:rPr>
      </w:pPr>
    </w:p>
    <w:p w14:paraId="3D1B4A03" w14:textId="77777777" w:rsidR="00AB5B59" w:rsidRDefault="00AB5B59" w:rsidP="00AB5B59">
      <w:pPr>
        <w:numPr>
          <w:ilvl w:val="0"/>
          <w:numId w:val="58"/>
        </w:numPr>
        <w:rPr>
          <w:sz w:val="24"/>
          <w:szCs w:val="24"/>
        </w:rPr>
      </w:pPr>
      <w:r>
        <w:rPr>
          <w:sz w:val="24"/>
          <w:szCs w:val="24"/>
        </w:rPr>
        <w:t>That My Mansfield be reduced from three editions annually to two and that the Executive’s proposal to reduce to one not be supported.</w:t>
      </w:r>
    </w:p>
    <w:p w14:paraId="5AF31A3F" w14:textId="77777777" w:rsidR="00AB5B59" w:rsidRPr="007D7E30" w:rsidRDefault="00AB5B59" w:rsidP="007D7E30">
      <w:pPr>
        <w:rPr>
          <w:sz w:val="24"/>
          <w:szCs w:val="24"/>
        </w:rPr>
      </w:pPr>
    </w:p>
    <w:p w14:paraId="3B42D5D4" w14:textId="77777777" w:rsidR="00AB5B59" w:rsidRDefault="00AB5B59" w:rsidP="00AB5B59">
      <w:pPr>
        <w:numPr>
          <w:ilvl w:val="0"/>
          <w:numId w:val="58"/>
        </w:numPr>
        <w:rPr>
          <w:sz w:val="24"/>
          <w:szCs w:val="24"/>
        </w:rPr>
      </w:pPr>
      <w:r>
        <w:rPr>
          <w:sz w:val="24"/>
          <w:szCs w:val="24"/>
        </w:rPr>
        <w:lastRenderedPageBreak/>
        <w:t>That a 2% increase in fees and charges where the Council is responsible for setting such fees be supported.</w:t>
      </w:r>
    </w:p>
    <w:p w14:paraId="0E11F1EC" w14:textId="77777777" w:rsidR="00AB5B59" w:rsidRPr="007D7E30" w:rsidRDefault="00AB5B59" w:rsidP="007D7E30">
      <w:pPr>
        <w:rPr>
          <w:sz w:val="24"/>
          <w:szCs w:val="24"/>
        </w:rPr>
      </w:pPr>
    </w:p>
    <w:p w14:paraId="617A9E49" w14:textId="77777777" w:rsidR="00AB5B59" w:rsidRDefault="00AB5B59" w:rsidP="00AB5B59">
      <w:pPr>
        <w:numPr>
          <w:ilvl w:val="0"/>
          <w:numId w:val="58"/>
        </w:numPr>
        <w:rPr>
          <w:sz w:val="24"/>
          <w:szCs w:val="24"/>
        </w:rPr>
      </w:pPr>
      <w:r>
        <w:rPr>
          <w:sz w:val="24"/>
          <w:szCs w:val="24"/>
        </w:rPr>
        <w:t>That the financial effect of the reduction in the number of the Executive be noted.</w:t>
      </w:r>
    </w:p>
    <w:p w14:paraId="38172F29" w14:textId="77777777" w:rsidR="00AB5B59" w:rsidRPr="007D7E30" w:rsidRDefault="00AB5B59" w:rsidP="007D7E30">
      <w:pPr>
        <w:rPr>
          <w:sz w:val="24"/>
          <w:szCs w:val="24"/>
        </w:rPr>
      </w:pPr>
    </w:p>
    <w:p w14:paraId="6C790D29" w14:textId="77777777" w:rsidR="00AB5B59" w:rsidRDefault="00AB5B59" w:rsidP="00AB5B59">
      <w:pPr>
        <w:numPr>
          <w:ilvl w:val="0"/>
          <w:numId w:val="58"/>
        </w:numPr>
        <w:rPr>
          <w:sz w:val="24"/>
          <w:szCs w:val="24"/>
        </w:rPr>
      </w:pPr>
      <w:r>
        <w:rPr>
          <w:sz w:val="24"/>
          <w:szCs w:val="24"/>
        </w:rPr>
        <w:t xml:space="preserve">That Special Responsibility Allowances be reduced by 10% and that the involvement of the Council’s Independent Panel into Members’ Allowances be confirmed. </w:t>
      </w:r>
    </w:p>
    <w:p w14:paraId="7AFAD2DB" w14:textId="77777777" w:rsidR="00AB5B59" w:rsidRPr="007D7E30" w:rsidRDefault="00AB5B59" w:rsidP="007D7E30">
      <w:pPr>
        <w:rPr>
          <w:sz w:val="24"/>
          <w:szCs w:val="24"/>
        </w:rPr>
      </w:pPr>
    </w:p>
    <w:p w14:paraId="03780A3B" w14:textId="77777777" w:rsidR="00AB5B59" w:rsidRDefault="00AB5B59" w:rsidP="00AB5B59">
      <w:pPr>
        <w:numPr>
          <w:ilvl w:val="0"/>
          <w:numId w:val="58"/>
        </w:numPr>
        <w:rPr>
          <w:sz w:val="24"/>
          <w:szCs w:val="24"/>
        </w:rPr>
      </w:pPr>
      <w:r>
        <w:rPr>
          <w:sz w:val="24"/>
          <w:szCs w:val="24"/>
        </w:rPr>
        <w:t>That there be no reduction in the level of the Ward Allowance.</w:t>
      </w:r>
    </w:p>
    <w:p w14:paraId="2F2D37DA" w14:textId="77777777" w:rsidR="00AB5B59" w:rsidRDefault="00AB5B59" w:rsidP="00AB5B59">
      <w:pPr>
        <w:pStyle w:val="ListParagraph"/>
        <w:rPr>
          <w:sz w:val="24"/>
          <w:szCs w:val="24"/>
        </w:rPr>
      </w:pPr>
    </w:p>
    <w:p w14:paraId="74C4656F" w14:textId="77777777" w:rsidR="00AB5B59" w:rsidRDefault="00AB5B59" w:rsidP="00AB5B59">
      <w:pPr>
        <w:numPr>
          <w:ilvl w:val="0"/>
          <w:numId w:val="58"/>
        </w:numPr>
        <w:rPr>
          <w:sz w:val="24"/>
          <w:szCs w:val="24"/>
        </w:rPr>
      </w:pPr>
      <w:r>
        <w:rPr>
          <w:sz w:val="24"/>
          <w:szCs w:val="24"/>
        </w:rPr>
        <w:t>That any budget General Fund surplus from these proposals be transferred to the Economic Stimulus Fund.</w:t>
      </w:r>
    </w:p>
    <w:p w14:paraId="2D7438DB" w14:textId="77777777" w:rsidR="00AB5B59" w:rsidRPr="007D7E30" w:rsidRDefault="00AB5B59" w:rsidP="007D7E30">
      <w:pPr>
        <w:rPr>
          <w:sz w:val="24"/>
          <w:szCs w:val="24"/>
        </w:rPr>
      </w:pPr>
    </w:p>
    <w:p w14:paraId="5EB5E1D4" w14:textId="77777777" w:rsidR="00AB5B59" w:rsidRDefault="00AB5B59" w:rsidP="00AB5B59">
      <w:pPr>
        <w:numPr>
          <w:ilvl w:val="0"/>
          <w:numId w:val="58"/>
        </w:numPr>
        <w:rPr>
          <w:sz w:val="24"/>
          <w:szCs w:val="24"/>
        </w:rPr>
      </w:pPr>
      <w:r>
        <w:rPr>
          <w:sz w:val="24"/>
          <w:szCs w:val="24"/>
        </w:rPr>
        <w:t>That the increase in Council house rents in line with Government rent guidelines be noted.</w:t>
      </w:r>
    </w:p>
    <w:p w14:paraId="02A56BAB" w14:textId="77777777" w:rsidR="00AB5B59" w:rsidRPr="007D7E30" w:rsidRDefault="00AB5B59" w:rsidP="007D7E30">
      <w:pPr>
        <w:rPr>
          <w:sz w:val="24"/>
          <w:szCs w:val="24"/>
        </w:rPr>
      </w:pPr>
    </w:p>
    <w:p w14:paraId="1F2036F2" w14:textId="77777777" w:rsidR="00AB5B59" w:rsidRPr="00BD2FA5" w:rsidRDefault="00AB5B59" w:rsidP="00AB5B59">
      <w:pPr>
        <w:numPr>
          <w:ilvl w:val="0"/>
          <w:numId w:val="58"/>
        </w:numPr>
        <w:rPr>
          <w:sz w:val="24"/>
          <w:szCs w:val="24"/>
        </w:rPr>
      </w:pPr>
      <w:r>
        <w:rPr>
          <w:sz w:val="24"/>
          <w:szCs w:val="24"/>
        </w:rPr>
        <w:t>That the Consolidated General Fund and Housing Revenue Account Capital programmes be supported.</w:t>
      </w:r>
    </w:p>
    <w:p w14:paraId="31E8A1C2" w14:textId="71DE6DEC" w:rsidR="00AB5B59" w:rsidRDefault="00AB5B59" w:rsidP="00AB5B59">
      <w:pPr>
        <w:ind w:left="720" w:hanging="720"/>
        <w:rPr>
          <w:sz w:val="24"/>
          <w:szCs w:val="24"/>
        </w:rPr>
      </w:pPr>
    </w:p>
    <w:p w14:paraId="7D2BF296" w14:textId="77777777" w:rsidR="007D7E30" w:rsidRPr="00531CC4" w:rsidRDefault="007D7E30" w:rsidP="00AB5B59">
      <w:pPr>
        <w:ind w:left="720" w:hanging="720"/>
        <w:rPr>
          <w:sz w:val="24"/>
          <w:szCs w:val="24"/>
        </w:rPr>
      </w:pPr>
    </w:p>
    <w:p w14:paraId="449250AA" w14:textId="77777777" w:rsidR="00AB5B59" w:rsidRPr="00531CC4" w:rsidRDefault="00AB5B59" w:rsidP="00AB5B59">
      <w:pPr>
        <w:rPr>
          <w:sz w:val="24"/>
          <w:szCs w:val="24"/>
        </w:rPr>
      </w:pPr>
      <w:r>
        <w:rPr>
          <w:b/>
          <w:sz w:val="24"/>
          <w:szCs w:val="24"/>
        </w:rPr>
        <w:t>4</w:t>
      </w:r>
      <w:r w:rsidRPr="00531CC4">
        <w:rPr>
          <w:b/>
          <w:sz w:val="24"/>
          <w:szCs w:val="24"/>
        </w:rPr>
        <w:t>.</w:t>
      </w:r>
      <w:r w:rsidRPr="00531CC4">
        <w:rPr>
          <w:b/>
          <w:sz w:val="24"/>
          <w:szCs w:val="24"/>
        </w:rPr>
        <w:tab/>
        <w:t>COMMENTS OF STATUTORY OFFICERS</w:t>
      </w:r>
    </w:p>
    <w:p w14:paraId="3C2D64A5" w14:textId="77777777" w:rsidR="00AB5B59" w:rsidRPr="00531CC4" w:rsidRDefault="00AB5B59" w:rsidP="00AB5B59">
      <w:pPr>
        <w:rPr>
          <w:sz w:val="24"/>
          <w:szCs w:val="24"/>
        </w:rPr>
      </w:pPr>
    </w:p>
    <w:p w14:paraId="347AF472" w14:textId="77777777" w:rsidR="00AB5B59" w:rsidRDefault="00AB5B59" w:rsidP="00AB5B59">
      <w:pPr>
        <w:rPr>
          <w:rFonts w:ascii="Calibri" w:hAnsi="Calibri"/>
          <w:sz w:val="24"/>
          <w:szCs w:val="24"/>
        </w:rPr>
      </w:pPr>
      <w:r>
        <w:rPr>
          <w:sz w:val="24"/>
          <w:szCs w:val="24"/>
        </w:rPr>
        <w:t>(a)</w:t>
      </w:r>
      <w:r>
        <w:rPr>
          <w:sz w:val="24"/>
          <w:szCs w:val="24"/>
        </w:rPr>
        <w:tab/>
      </w:r>
      <w:r w:rsidRPr="00EA37F0">
        <w:rPr>
          <w:sz w:val="24"/>
          <w:szCs w:val="24"/>
        </w:rPr>
        <w:t xml:space="preserve">Head of Paid Service – The requirement to have a balanced budget is an </w:t>
      </w:r>
      <w:r>
        <w:rPr>
          <w:sz w:val="24"/>
          <w:szCs w:val="24"/>
        </w:rPr>
        <w:tab/>
      </w:r>
      <w:r w:rsidRPr="00EA37F0">
        <w:rPr>
          <w:sz w:val="24"/>
          <w:szCs w:val="24"/>
        </w:rPr>
        <w:t xml:space="preserve">important part of the council’s role and it is important for the council to have a </w:t>
      </w:r>
      <w:r>
        <w:rPr>
          <w:sz w:val="24"/>
          <w:szCs w:val="24"/>
        </w:rPr>
        <w:tab/>
      </w:r>
      <w:r w:rsidRPr="00EA37F0">
        <w:rPr>
          <w:sz w:val="24"/>
          <w:szCs w:val="24"/>
        </w:rPr>
        <w:t xml:space="preserve">budget that is informed by the Executive but also all members of the council. </w:t>
      </w:r>
      <w:r>
        <w:rPr>
          <w:sz w:val="24"/>
          <w:szCs w:val="24"/>
        </w:rPr>
        <w:tab/>
      </w:r>
      <w:r w:rsidRPr="00EA37F0">
        <w:rPr>
          <w:sz w:val="24"/>
          <w:szCs w:val="24"/>
        </w:rPr>
        <w:t xml:space="preserve">The council has experienced challenges with its financial position as set out in </w:t>
      </w:r>
      <w:r>
        <w:rPr>
          <w:sz w:val="24"/>
          <w:szCs w:val="24"/>
        </w:rPr>
        <w:tab/>
      </w:r>
      <w:r w:rsidRPr="00EA37F0">
        <w:rPr>
          <w:sz w:val="24"/>
          <w:szCs w:val="24"/>
        </w:rPr>
        <w:t xml:space="preserve">the Medium Term Financial Strategy and this has been mainly delivered </w:t>
      </w:r>
      <w:r>
        <w:rPr>
          <w:sz w:val="24"/>
          <w:szCs w:val="24"/>
        </w:rPr>
        <w:tab/>
      </w:r>
      <w:r w:rsidRPr="00EA37F0">
        <w:rPr>
          <w:sz w:val="24"/>
          <w:szCs w:val="24"/>
        </w:rPr>
        <w:t xml:space="preserve">through the Councils transformation plan. </w:t>
      </w:r>
      <w:proofErr w:type="spellStart"/>
      <w:r w:rsidRPr="00EA37F0">
        <w:rPr>
          <w:sz w:val="24"/>
          <w:szCs w:val="24"/>
        </w:rPr>
        <w:t>Covid</w:t>
      </w:r>
      <w:proofErr w:type="spellEnd"/>
      <w:r w:rsidRPr="00EA37F0">
        <w:rPr>
          <w:sz w:val="24"/>
          <w:szCs w:val="24"/>
        </w:rPr>
        <w:t xml:space="preserve"> 19 has presented the council </w:t>
      </w:r>
      <w:r>
        <w:rPr>
          <w:sz w:val="24"/>
          <w:szCs w:val="24"/>
        </w:rPr>
        <w:tab/>
      </w:r>
      <w:r w:rsidRPr="00EA37F0">
        <w:rPr>
          <w:sz w:val="24"/>
          <w:szCs w:val="24"/>
        </w:rPr>
        <w:t xml:space="preserve">with further challenges creating further uncertainty for the Councils financial </w:t>
      </w:r>
      <w:r>
        <w:rPr>
          <w:sz w:val="24"/>
          <w:szCs w:val="24"/>
        </w:rPr>
        <w:tab/>
      </w:r>
      <w:r w:rsidRPr="00EA37F0">
        <w:rPr>
          <w:sz w:val="24"/>
          <w:szCs w:val="24"/>
        </w:rPr>
        <w:t xml:space="preserve">position. It is important that we look to the future in managing the councils </w:t>
      </w:r>
      <w:r>
        <w:rPr>
          <w:sz w:val="24"/>
          <w:szCs w:val="24"/>
        </w:rPr>
        <w:tab/>
      </w:r>
      <w:r w:rsidRPr="00EA37F0">
        <w:rPr>
          <w:sz w:val="24"/>
          <w:szCs w:val="24"/>
        </w:rPr>
        <w:t xml:space="preserve">financial position including prioritising its revenue spend and ensuring that the </w:t>
      </w:r>
      <w:r>
        <w:rPr>
          <w:sz w:val="24"/>
          <w:szCs w:val="24"/>
        </w:rPr>
        <w:tab/>
      </w:r>
      <w:r w:rsidRPr="00EA37F0">
        <w:rPr>
          <w:sz w:val="24"/>
          <w:szCs w:val="24"/>
        </w:rPr>
        <w:t>capital spend delivers the maximum benefit to its residents and businesse</w:t>
      </w:r>
      <w:r>
        <w:t>s. </w:t>
      </w:r>
    </w:p>
    <w:p w14:paraId="6C007F78" w14:textId="77777777" w:rsidR="00AB5B59" w:rsidRDefault="00AB5B59" w:rsidP="00AB5B59">
      <w:pPr>
        <w:ind w:left="720" w:hanging="720"/>
        <w:rPr>
          <w:sz w:val="24"/>
          <w:szCs w:val="24"/>
        </w:rPr>
      </w:pPr>
    </w:p>
    <w:p w14:paraId="6A27186D" w14:textId="77777777" w:rsidR="00AB5B59" w:rsidRPr="00CD0BB8" w:rsidRDefault="00AB5B59" w:rsidP="00AB5B59">
      <w:pPr>
        <w:ind w:left="720" w:hanging="720"/>
        <w:rPr>
          <w:sz w:val="24"/>
          <w:szCs w:val="24"/>
        </w:rPr>
      </w:pPr>
      <w:r>
        <w:rPr>
          <w:sz w:val="24"/>
          <w:szCs w:val="24"/>
        </w:rPr>
        <w:t>(b)</w:t>
      </w:r>
      <w:r>
        <w:rPr>
          <w:sz w:val="24"/>
          <w:szCs w:val="24"/>
        </w:rPr>
        <w:tab/>
        <w:t xml:space="preserve">Monitoring Officer – </w:t>
      </w:r>
      <w:r w:rsidRPr="00CD0BB8">
        <w:rPr>
          <w:sz w:val="24"/>
          <w:szCs w:val="24"/>
        </w:rPr>
        <w:t>The Executive shall, in accordance with the Constitution, consider the comments from the Overview and Scrutiny Committee prior to finalising the budget to recommend to Council. The report to Council will include the Executive’s response to the comments made by the Overview and Scrutiny Committee.</w:t>
      </w:r>
    </w:p>
    <w:p w14:paraId="6920EE14" w14:textId="17C3AC4B" w:rsidR="00AB5B59" w:rsidRDefault="00AB5B59" w:rsidP="007D7E30">
      <w:pPr>
        <w:rPr>
          <w:sz w:val="24"/>
          <w:szCs w:val="24"/>
        </w:rPr>
      </w:pPr>
    </w:p>
    <w:p w14:paraId="2F5A6848" w14:textId="77777777" w:rsidR="00AB5B59" w:rsidRDefault="00AB5B59" w:rsidP="00AB5B59">
      <w:pPr>
        <w:ind w:left="720" w:hanging="720"/>
        <w:rPr>
          <w:sz w:val="24"/>
          <w:szCs w:val="24"/>
        </w:rPr>
      </w:pPr>
      <w:r>
        <w:rPr>
          <w:sz w:val="24"/>
          <w:szCs w:val="24"/>
        </w:rPr>
        <w:t>(c)</w:t>
      </w:r>
      <w:r>
        <w:rPr>
          <w:sz w:val="24"/>
          <w:szCs w:val="24"/>
        </w:rPr>
        <w:tab/>
        <w:t xml:space="preserve">Section 151 Officer - </w:t>
      </w:r>
      <w:r w:rsidRPr="002F58F1">
        <w:rPr>
          <w:sz w:val="24"/>
          <w:szCs w:val="24"/>
        </w:rPr>
        <w:t>The recommendations and conclusions presented in this report support a balance budget for the financial year 2021/22 in line with the proposals put forward by the Council’s Executive</w:t>
      </w:r>
    </w:p>
    <w:p w14:paraId="3A5F6507" w14:textId="77777777" w:rsidR="00AB5B59" w:rsidRDefault="00AB5B59" w:rsidP="00AB5B59">
      <w:pPr>
        <w:ind w:left="720" w:hanging="720"/>
        <w:rPr>
          <w:sz w:val="24"/>
          <w:szCs w:val="24"/>
        </w:rPr>
      </w:pPr>
    </w:p>
    <w:p w14:paraId="78B39355" w14:textId="77777777" w:rsidR="00AB5B59" w:rsidRPr="00531CC4" w:rsidRDefault="00AB5B59" w:rsidP="00AB5B59">
      <w:pPr>
        <w:rPr>
          <w:sz w:val="24"/>
          <w:szCs w:val="24"/>
        </w:rPr>
      </w:pPr>
    </w:p>
    <w:p w14:paraId="1C282342" w14:textId="77777777" w:rsidR="00AB5B59" w:rsidRPr="00531CC4" w:rsidRDefault="00AB5B59" w:rsidP="00AB5B59">
      <w:pPr>
        <w:rPr>
          <w:b/>
          <w:sz w:val="24"/>
          <w:szCs w:val="24"/>
        </w:rPr>
      </w:pPr>
      <w:r>
        <w:rPr>
          <w:b/>
          <w:sz w:val="24"/>
          <w:szCs w:val="24"/>
        </w:rPr>
        <w:t>5</w:t>
      </w:r>
      <w:r w:rsidRPr="00531CC4">
        <w:rPr>
          <w:b/>
          <w:sz w:val="24"/>
          <w:szCs w:val="24"/>
        </w:rPr>
        <w:t>.</w:t>
      </w:r>
      <w:r w:rsidRPr="00531CC4">
        <w:rPr>
          <w:b/>
          <w:sz w:val="24"/>
          <w:szCs w:val="24"/>
        </w:rPr>
        <w:tab/>
        <w:t>BACKGROUND PAPERS</w:t>
      </w:r>
    </w:p>
    <w:p w14:paraId="4ADD6CB9" w14:textId="77777777" w:rsidR="00AB5B59" w:rsidRPr="00531CC4" w:rsidRDefault="00AB5B59" w:rsidP="00AB5B59">
      <w:pPr>
        <w:rPr>
          <w:sz w:val="24"/>
          <w:szCs w:val="24"/>
        </w:rPr>
      </w:pPr>
    </w:p>
    <w:p w14:paraId="2BA0D591" w14:textId="77777777" w:rsidR="00AB5B59" w:rsidRDefault="00AB5B59" w:rsidP="00AB5B59">
      <w:pPr>
        <w:rPr>
          <w:sz w:val="24"/>
          <w:szCs w:val="24"/>
        </w:rPr>
      </w:pPr>
      <w:r>
        <w:rPr>
          <w:sz w:val="24"/>
          <w:szCs w:val="24"/>
        </w:rPr>
        <w:tab/>
        <w:t>Budget papers held in the Accountancy.</w:t>
      </w:r>
    </w:p>
    <w:p w14:paraId="542DE5C7" w14:textId="77777777" w:rsidR="00AB5B59" w:rsidRPr="00531CC4" w:rsidRDefault="00AB5B59" w:rsidP="00AB5B59">
      <w:pPr>
        <w:rPr>
          <w:sz w:val="24"/>
          <w:szCs w:val="24"/>
        </w:rPr>
      </w:pPr>
    </w:p>
    <w:tbl>
      <w:tblPr>
        <w:tblW w:w="0" w:type="auto"/>
        <w:tblLook w:val="01E0" w:firstRow="1" w:lastRow="1" w:firstColumn="1" w:lastColumn="1" w:noHBand="0" w:noVBand="0"/>
      </w:tblPr>
      <w:tblGrid>
        <w:gridCol w:w="1788"/>
        <w:gridCol w:w="296"/>
        <w:gridCol w:w="6910"/>
      </w:tblGrid>
      <w:tr w:rsidR="00AB5B59" w:rsidRPr="003506D3" w14:paraId="3A340FD9" w14:textId="77777777" w:rsidTr="005943A6">
        <w:tc>
          <w:tcPr>
            <w:tcW w:w="1788" w:type="dxa"/>
            <w:shd w:val="clear" w:color="auto" w:fill="auto"/>
          </w:tcPr>
          <w:p w14:paraId="7FD4F5C8" w14:textId="77777777" w:rsidR="00AB5B59" w:rsidRPr="003506D3" w:rsidRDefault="00AB5B59" w:rsidP="005943A6">
            <w:pPr>
              <w:rPr>
                <w:rFonts w:cs="Arial"/>
                <w:sz w:val="24"/>
                <w:szCs w:val="24"/>
              </w:rPr>
            </w:pPr>
            <w:r w:rsidRPr="003506D3">
              <w:rPr>
                <w:rFonts w:cs="Arial"/>
                <w:sz w:val="24"/>
                <w:szCs w:val="24"/>
              </w:rPr>
              <w:t>Report Author</w:t>
            </w:r>
          </w:p>
        </w:tc>
        <w:tc>
          <w:tcPr>
            <w:tcW w:w="296" w:type="dxa"/>
            <w:shd w:val="clear" w:color="auto" w:fill="auto"/>
          </w:tcPr>
          <w:p w14:paraId="27E5E87A" w14:textId="77777777" w:rsidR="00AB5B59" w:rsidRPr="003506D3" w:rsidRDefault="00AB5B59" w:rsidP="005943A6">
            <w:pPr>
              <w:rPr>
                <w:rFonts w:cs="Arial"/>
                <w:sz w:val="24"/>
                <w:szCs w:val="24"/>
              </w:rPr>
            </w:pPr>
            <w:r w:rsidRPr="003506D3">
              <w:rPr>
                <w:rFonts w:cs="Arial"/>
                <w:sz w:val="24"/>
                <w:szCs w:val="24"/>
              </w:rPr>
              <w:t>-</w:t>
            </w:r>
          </w:p>
        </w:tc>
        <w:tc>
          <w:tcPr>
            <w:tcW w:w="6910" w:type="dxa"/>
            <w:shd w:val="clear" w:color="auto" w:fill="auto"/>
          </w:tcPr>
          <w:p w14:paraId="3A145CAC" w14:textId="77777777" w:rsidR="00AB5B59" w:rsidRPr="003506D3" w:rsidRDefault="00AB5B59" w:rsidP="005943A6">
            <w:pPr>
              <w:rPr>
                <w:rFonts w:cs="Arial"/>
                <w:sz w:val="24"/>
                <w:szCs w:val="24"/>
              </w:rPr>
            </w:pPr>
            <w:r w:rsidRPr="003506D3">
              <w:rPr>
                <w:rFonts w:cs="Arial"/>
                <w:sz w:val="24"/>
                <w:szCs w:val="24"/>
              </w:rPr>
              <w:t>Mark Pemberton</w:t>
            </w:r>
          </w:p>
        </w:tc>
      </w:tr>
      <w:tr w:rsidR="00AB5B59" w:rsidRPr="003506D3" w14:paraId="492F4DCD" w14:textId="77777777" w:rsidTr="005943A6">
        <w:tc>
          <w:tcPr>
            <w:tcW w:w="1788" w:type="dxa"/>
            <w:shd w:val="clear" w:color="auto" w:fill="auto"/>
          </w:tcPr>
          <w:p w14:paraId="7A50B7BE" w14:textId="77777777" w:rsidR="00AB5B59" w:rsidRPr="003506D3" w:rsidRDefault="00AB5B59" w:rsidP="005943A6">
            <w:pPr>
              <w:rPr>
                <w:rFonts w:cs="Arial"/>
                <w:sz w:val="24"/>
                <w:szCs w:val="24"/>
              </w:rPr>
            </w:pPr>
            <w:r w:rsidRPr="003506D3">
              <w:rPr>
                <w:rFonts w:cs="Arial"/>
                <w:sz w:val="24"/>
                <w:szCs w:val="24"/>
              </w:rPr>
              <w:t>Designation</w:t>
            </w:r>
          </w:p>
        </w:tc>
        <w:tc>
          <w:tcPr>
            <w:tcW w:w="296" w:type="dxa"/>
            <w:shd w:val="clear" w:color="auto" w:fill="auto"/>
          </w:tcPr>
          <w:p w14:paraId="05A5F1E8" w14:textId="77777777" w:rsidR="00AB5B59" w:rsidRPr="003506D3" w:rsidRDefault="00AB5B59" w:rsidP="005943A6">
            <w:pPr>
              <w:rPr>
                <w:rFonts w:cs="Arial"/>
                <w:sz w:val="24"/>
                <w:szCs w:val="24"/>
              </w:rPr>
            </w:pPr>
            <w:r w:rsidRPr="003506D3">
              <w:rPr>
                <w:rFonts w:cs="Arial"/>
                <w:sz w:val="24"/>
                <w:szCs w:val="24"/>
              </w:rPr>
              <w:t>-</w:t>
            </w:r>
          </w:p>
        </w:tc>
        <w:tc>
          <w:tcPr>
            <w:tcW w:w="6910" w:type="dxa"/>
            <w:shd w:val="clear" w:color="auto" w:fill="auto"/>
          </w:tcPr>
          <w:p w14:paraId="4A3E0AC0" w14:textId="77777777" w:rsidR="00AB5B59" w:rsidRPr="003506D3" w:rsidRDefault="00AB5B59" w:rsidP="005943A6">
            <w:pPr>
              <w:rPr>
                <w:rFonts w:cs="Arial"/>
                <w:sz w:val="24"/>
                <w:szCs w:val="24"/>
              </w:rPr>
            </w:pPr>
            <w:r w:rsidRPr="003506D3">
              <w:rPr>
                <w:rFonts w:cs="Arial"/>
                <w:sz w:val="24"/>
                <w:szCs w:val="24"/>
              </w:rPr>
              <w:t>Democratic Se</w:t>
            </w:r>
            <w:r>
              <w:rPr>
                <w:rFonts w:cs="Arial"/>
                <w:sz w:val="24"/>
                <w:szCs w:val="24"/>
              </w:rPr>
              <w:t xml:space="preserve">rvices </w:t>
            </w:r>
            <w:r w:rsidRPr="003506D3">
              <w:rPr>
                <w:rFonts w:cs="Arial"/>
                <w:sz w:val="24"/>
                <w:szCs w:val="24"/>
              </w:rPr>
              <w:t>Manager</w:t>
            </w:r>
          </w:p>
        </w:tc>
      </w:tr>
      <w:tr w:rsidR="00AB5B59" w:rsidRPr="003506D3" w14:paraId="4215BD1F" w14:textId="77777777" w:rsidTr="005943A6">
        <w:tc>
          <w:tcPr>
            <w:tcW w:w="1788" w:type="dxa"/>
            <w:shd w:val="clear" w:color="auto" w:fill="auto"/>
          </w:tcPr>
          <w:p w14:paraId="36C89A73" w14:textId="77777777" w:rsidR="00AB5B59" w:rsidRPr="003506D3" w:rsidRDefault="00AB5B59" w:rsidP="005943A6">
            <w:pPr>
              <w:rPr>
                <w:rFonts w:cs="Arial"/>
                <w:sz w:val="24"/>
                <w:szCs w:val="24"/>
              </w:rPr>
            </w:pPr>
            <w:r w:rsidRPr="003506D3">
              <w:rPr>
                <w:rFonts w:cs="Arial"/>
                <w:sz w:val="24"/>
                <w:szCs w:val="24"/>
              </w:rPr>
              <w:t>Telephone</w:t>
            </w:r>
          </w:p>
        </w:tc>
        <w:tc>
          <w:tcPr>
            <w:tcW w:w="296" w:type="dxa"/>
            <w:shd w:val="clear" w:color="auto" w:fill="auto"/>
          </w:tcPr>
          <w:p w14:paraId="48D9F39C" w14:textId="77777777" w:rsidR="00AB5B59" w:rsidRPr="003506D3" w:rsidRDefault="00AB5B59" w:rsidP="005943A6">
            <w:pPr>
              <w:rPr>
                <w:rFonts w:cs="Arial"/>
                <w:sz w:val="24"/>
                <w:szCs w:val="24"/>
              </w:rPr>
            </w:pPr>
            <w:r w:rsidRPr="003506D3">
              <w:rPr>
                <w:rFonts w:cs="Arial"/>
                <w:sz w:val="24"/>
                <w:szCs w:val="24"/>
              </w:rPr>
              <w:t>-</w:t>
            </w:r>
          </w:p>
        </w:tc>
        <w:tc>
          <w:tcPr>
            <w:tcW w:w="6910" w:type="dxa"/>
            <w:shd w:val="clear" w:color="auto" w:fill="auto"/>
          </w:tcPr>
          <w:p w14:paraId="6C638C99" w14:textId="77777777" w:rsidR="00AB5B59" w:rsidRPr="003506D3" w:rsidRDefault="00AB5B59" w:rsidP="005943A6">
            <w:pPr>
              <w:rPr>
                <w:rFonts w:cs="Arial"/>
                <w:sz w:val="24"/>
                <w:szCs w:val="24"/>
              </w:rPr>
            </w:pPr>
            <w:r w:rsidRPr="003506D3">
              <w:rPr>
                <w:rFonts w:cs="Arial"/>
                <w:sz w:val="24"/>
                <w:szCs w:val="24"/>
              </w:rPr>
              <w:t>01623 463301</w:t>
            </w:r>
          </w:p>
        </w:tc>
      </w:tr>
      <w:tr w:rsidR="00AB5B59" w:rsidRPr="003506D3" w14:paraId="74585DEA" w14:textId="77777777" w:rsidTr="005943A6">
        <w:tc>
          <w:tcPr>
            <w:tcW w:w="1788" w:type="dxa"/>
            <w:shd w:val="clear" w:color="auto" w:fill="auto"/>
          </w:tcPr>
          <w:p w14:paraId="57052BB2" w14:textId="77777777" w:rsidR="00AB5B59" w:rsidRPr="003506D3" w:rsidRDefault="00AB5B59" w:rsidP="005943A6">
            <w:pPr>
              <w:rPr>
                <w:rFonts w:cs="Arial"/>
                <w:sz w:val="24"/>
                <w:szCs w:val="24"/>
              </w:rPr>
            </w:pPr>
            <w:r w:rsidRPr="003506D3">
              <w:rPr>
                <w:rFonts w:cs="Arial"/>
                <w:sz w:val="24"/>
                <w:szCs w:val="24"/>
              </w:rPr>
              <w:t>E-mail</w:t>
            </w:r>
          </w:p>
        </w:tc>
        <w:tc>
          <w:tcPr>
            <w:tcW w:w="296" w:type="dxa"/>
            <w:shd w:val="clear" w:color="auto" w:fill="auto"/>
          </w:tcPr>
          <w:p w14:paraId="7C6A38E8" w14:textId="77777777" w:rsidR="00AB5B59" w:rsidRPr="003506D3" w:rsidRDefault="00AB5B59" w:rsidP="005943A6">
            <w:pPr>
              <w:rPr>
                <w:rFonts w:cs="Arial"/>
                <w:sz w:val="24"/>
                <w:szCs w:val="24"/>
              </w:rPr>
            </w:pPr>
            <w:r w:rsidRPr="003506D3">
              <w:rPr>
                <w:rFonts w:cs="Arial"/>
                <w:sz w:val="24"/>
                <w:szCs w:val="24"/>
              </w:rPr>
              <w:t>-</w:t>
            </w:r>
          </w:p>
        </w:tc>
        <w:tc>
          <w:tcPr>
            <w:tcW w:w="6910" w:type="dxa"/>
            <w:shd w:val="clear" w:color="auto" w:fill="auto"/>
          </w:tcPr>
          <w:p w14:paraId="1216160B" w14:textId="77777777" w:rsidR="00AB5B59" w:rsidRPr="003506D3" w:rsidRDefault="00CF7D45" w:rsidP="005943A6">
            <w:pPr>
              <w:rPr>
                <w:rFonts w:cs="Arial"/>
                <w:sz w:val="24"/>
                <w:szCs w:val="24"/>
              </w:rPr>
            </w:pPr>
            <w:hyperlink r:id="rId11" w:history="1">
              <w:r w:rsidR="00AB5B59" w:rsidRPr="003506D3">
                <w:rPr>
                  <w:rStyle w:val="Hyperlink"/>
                  <w:rFonts w:cs="Arial"/>
                  <w:sz w:val="24"/>
                  <w:szCs w:val="24"/>
                </w:rPr>
                <w:t>mpemberton@mansfield.gov.uk</w:t>
              </w:r>
            </w:hyperlink>
            <w:r w:rsidR="00AB5B59" w:rsidRPr="003506D3">
              <w:rPr>
                <w:rFonts w:cs="Arial"/>
                <w:sz w:val="24"/>
                <w:szCs w:val="24"/>
              </w:rPr>
              <w:t xml:space="preserve"> </w:t>
            </w:r>
          </w:p>
        </w:tc>
      </w:tr>
    </w:tbl>
    <w:p w14:paraId="6B040AD6" w14:textId="77777777" w:rsidR="00AB5B59" w:rsidRPr="00AB5B59" w:rsidRDefault="00AB5B59">
      <w:pPr>
        <w:rPr>
          <w:b/>
          <w:sz w:val="32"/>
          <w:szCs w:val="32"/>
        </w:rPr>
      </w:pPr>
    </w:p>
    <w:p w14:paraId="03C7819A" w14:textId="77777777" w:rsidR="007D7E30" w:rsidRDefault="007D7E30">
      <w:pPr>
        <w:jc w:val="left"/>
        <w:rPr>
          <w:b/>
          <w:sz w:val="32"/>
          <w:szCs w:val="32"/>
        </w:rPr>
      </w:pPr>
      <w:r>
        <w:rPr>
          <w:b/>
          <w:sz w:val="32"/>
          <w:szCs w:val="32"/>
        </w:rPr>
        <w:br w:type="page"/>
      </w:r>
    </w:p>
    <w:p w14:paraId="625A9AE8" w14:textId="03277E14" w:rsidR="00AB5B59" w:rsidRDefault="00EB431C">
      <w:pPr>
        <w:rPr>
          <w:b/>
          <w:sz w:val="32"/>
          <w:szCs w:val="32"/>
        </w:rPr>
      </w:pPr>
      <w:r>
        <w:rPr>
          <w:b/>
          <w:sz w:val="32"/>
          <w:szCs w:val="32"/>
        </w:rPr>
        <w:lastRenderedPageBreak/>
        <w:t>Appendix 8</w:t>
      </w:r>
    </w:p>
    <w:p w14:paraId="60468EE1" w14:textId="0DE4366B" w:rsidR="004F613F" w:rsidRDefault="004F613F">
      <w:pPr>
        <w:rPr>
          <w:b/>
          <w:sz w:val="32"/>
          <w:szCs w:val="32"/>
        </w:rPr>
      </w:pPr>
    </w:p>
    <w:p w14:paraId="1EC0203C" w14:textId="77777777" w:rsidR="004F613F" w:rsidRPr="00B337B3" w:rsidRDefault="004F613F" w:rsidP="004F613F">
      <w:pPr>
        <w:jc w:val="center"/>
        <w:rPr>
          <w:rFonts w:ascii="Arial Black" w:hAnsi="Arial Black"/>
          <w:sz w:val="24"/>
          <w:szCs w:val="24"/>
        </w:rPr>
      </w:pPr>
      <w:r w:rsidRPr="00B337B3">
        <w:rPr>
          <w:rFonts w:ascii="Arial Black" w:hAnsi="Arial Black"/>
          <w:sz w:val="24"/>
          <w:szCs w:val="24"/>
        </w:rPr>
        <w:t xml:space="preserve">Report of the Portfolio Holder for </w:t>
      </w:r>
      <w:r>
        <w:rPr>
          <w:rFonts w:ascii="Arial Black" w:hAnsi="Arial Black"/>
          <w:sz w:val="24"/>
          <w:szCs w:val="24"/>
        </w:rPr>
        <w:t xml:space="preserve">Corporate and </w:t>
      </w:r>
      <w:r w:rsidRPr="00B337B3">
        <w:rPr>
          <w:rFonts w:ascii="Arial Black" w:hAnsi="Arial Black"/>
          <w:sz w:val="24"/>
          <w:szCs w:val="24"/>
        </w:rPr>
        <w:t>Finance</w:t>
      </w:r>
    </w:p>
    <w:p w14:paraId="4BA15684" w14:textId="77777777" w:rsidR="004F613F" w:rsidRPr="00B337B3" w:rsidRDefault="004F613F" w:rsidP="004F613F">
      <w:pPr>
        <w:jc w:val="center"/>
        <w:rPr>
          <w:rFonts w:ascii="Arial Black" w:hAnsi="Arial Black"/>
          <w:sz w:val="24"/>
          <w:szCs w:val="24"/>
        </w:rPr>
      </w:pPr>
      <w:r w:rsidRPr="00B337B3">
        <w:rPr>
          <w:rFonts w:ascii="Arial Black" w:hAnsi="Arial Black"/>
          <w:sz w:val="24"/>
          <w:szCs w:val="24"/>
        </w:rPr>
        <w:t>To</w:t>
      </w:r>
    </w:p>
    <w:p w14:paraId="0780F30D" w14:textId="77777777" w:rsidR="004F613F" w:rsidRPr="00B337B3" w:rsidRDefault="004F613F" w:rsidP="004F613F">
      <w:pPr>
        <w:jc w:val="center"/>
        <w:rPr>
          <w:rFonts w:ascii="Arial Black" w:hAnsi="Arial Black"/>
          <w:sz w:val="24"/>
          <w:szCs w:val="24"/>
        </w:rPr>
      </w:pPr>
      <w:r w:rsidRPr="00B337B3">
        <w:rPr>
          <w:rFonts w:ascii="Arial Black" w:hAnsi="Arial Black"/>
          <w:sz w:val="24"/>
          <w:szCs w:val="24"/>
        </w:rPr>
        <w:t>Overview &amp; Scrutiny Committee (Corporate)</w:t>
      </w:r>
    </w:p>
    <w:p w14:paraId="78F8FF2E" w14:textId="77777777" w:rsidR="004F613F" w:rsidRPr="00B337B3" w:rsidRDefault="004F613F" w:rsidP="004F613F">
      <w:pPr>
        <w:jc w:val="center"/>
        <w:rPr>
          <w:rFonts w:ascii="Arial Black" w:hAnsi="Arial Black"/>
          <w:sz w:val="24"/>
          <w:szCs w:val="24"/>
        </w:rPr>
      </w:pPr>
      <w:r w:rsidRPr="00B337B3">
        <w:rPr>
          <w:rFonts w:ascii="Arial Black" w:hAnsi="Arial Black"/>
          <w:sz w:val="24"/>
          <w:szCs w:val="24"/>
        </w:rPr>
        <w:t>On</w:t>
      </w:r>
    </w:p>
    <w:p w14:paraId="0362702A" w14:textId="77777777" w:rsidR="004F613F" w:rsidRDefault="004F613F" w:rsidP="004F613F">
      <w:pPr>
        <w:jc w:val="center"/>
        <w:rPr>
          <w:rFonts w:ascii="Arial Black" w:hAnsi="Arial Black"/>
          <w:sz w:val="24"/>
          <w:szCs w:val="24"/>
        </w:rPr>
      </w:pPr>
      <w:r>
        <w:rPr>
          <w:rFonts w:ascii="Arial Black" w:hAnsi="Arial Black"/>
          <w:sz w:val="24"/>
          <w:szCs w:val="24"/>
        </w:rPr>
        <w:t>5</w:t>
      </w:r>
      <w:r w:rsidRPr="00B337B3">
        <w:rPr>
          <w:rFonts w:ascii="Arial Black" w:hAnsi="Arial Black"/>
          <w:sz w:val="24"/>
          <w:szCs w:val="24"/>
        </w:rPr>
        <w:t xml:space="preserve"> January 20</w:t>
      </w:r>
      <w:r>
        <w:rPr>
          <w:rFonts w:ascii="Arial Black" w:hAnsi="Arial Black"/>
          <w:sz w:val="24"/>
          <w:szCs w:val="24"/>
        </w:rPr>
        <w:t>21</w:t>
      </w:r>
    </w:p>
    <w:p w14:paraId="7275B6D3" w14:textId="77777777" w:rsidR="004F613F" w:rsidRDefault="004F613F" w:rsidP="004F613F">
      <w:pPr>
        <w:rPr>
          <w:sz w:val="24"/>
          <w:szCs w:val="24"/>
        </w:rPr>
      </w:pPr>
    </w:p>
    <w:tbl>
      <w:tblPr>
        <w:tblW w:w="0" w:type="auto"/>
        <w:tblLook w:val="01E0" w:firstRow="1" w:lastRow="1" w:firstColumn="1" w:lastColumn="1" w:noHBand="0" w:noVBand="0"/>
      </w:tblPr>
      <w:tblGrid>
        <w:gridCol w:w="9026"/>
      </w:tblGrid>
      <w:tr w:rsidR="004F613F" w:rsidRPr="00FB7614" w14:paraId="263436D4" w14:textId="77777777" w:rsidTr="005943A6">
        <w:tc>
          <w:tcPr>
            <w:tcW w:w="9242" w:type="dxa"/>
            <w:tcBorders>
              <w:top w:val="single" w:sz="24" w:space="0" w:color="auto"/>
              <w:bottom w:val="single" w:sz="24" w:space="0" w:color="auto"/>
            </w:tcBorders>
            <w:shd w:val="clear" w:color="auto" w:fill="auto"/>
          </w:tcPr>
          <w:p w14:paraId="28F3A601" w14:textId="77777777" w:rsidR="004F613F" w:rsidRPr="00FB7614" w:rsidRDefault="004F613F" w:rsidP="005943A6">
            <w:pPr>
              <w:spacing w:before="240" w:after="240"/>
              <w:jc w:val="center"/>
              <w:rPr>
                <w:rFonts w:cs="Arial"/>
                <w:b/>
                <w:sz w:val="24"/>
                <w:szCs w:val="24"/>
              </w:rPr>
            </w:pPr>
            <w:r w:rsidRPr="00FB7614">
              <w:rPr>
                <w:rFonts w:cs="Arial"/>
                <w:b/>
                <w:sz w:val="24"/>
                <w:szCs w:val="24"/>
              </w:rPr>
              <w:t xml:space="preserve">RESPONSE OF THE PORTFOLIO HOLDER FOR </w:t>
            </w:r>
            <w:r>
              <w:rPr>
                <w:rFonts w:cs="Arial"/>
                <w:b/>
                <w:sz w:val="24"/>
                <w:szCs w:val="24"/>
              </w:rPr>
              <w:t xml:space="preserve">CORPORATE AND </w:t>
            </w:r>
            <w:r w:rsidRPr="00FB7614">
              <w:rPr>
                <w:rFonts w:cs="Arial"/>
                <w:b/>
                <w:sz w:val="24"/>
                <w:szCs w:val="24"/>
              </w:rPr>
              <w:t xml:space="preserve">FINANCE TO OVERVIEW AND SCRUTINY COMMITTEE (CORPORATE) RECOMMENDATIONS </w:t>
            </w:r>
            <w:r>
              <w:rPr>
                <w:rFonts w:cs="Arial"/>
                <w:b/>
                <w:sz w:val="24"/>
                <w:szCs w:val="24"/>
              </w:rPr>
              <w:t>ON THE MEDIUM TERM FINANCIAL STRATEGY</w:t>
            </w:r>
          </w:p>
        </w:tc>
      </w:tr>
    </w:tbl>
    <w:p w14:paraId="3C281AEA" w14:textId="77777777" w:rsidR="004F613F" w:rsidRPr="00FB7614" w:rsidRDefault="004F613F" w:rsidP="004F613F">
      <w:pPr>
        <w:rPr>
          <w:rFonts w:cs="Arial"/>
          <w:sz w:val="24"/>
          <w:szCs w:val="24"/>
        </w:rPr>
      </w:pPr>
    </w:p>
    <w:p w14:paraId="699D49D0" w14:textId="77777777" w:rsidR="004F613F" w:rsidRPr="00182589" w:rsidRDefault="004F613F" w:rsidP="004F613F">
      <w:pPr>
        <w:jc w:val="left"/>
        <w:rPr>
          <w:rFonts w:cs="Arial"/>
          <w:b/>
          <w:sz w:val="24"/>
          <w:szCs w:val="24"/>
        </w:rPr>
      </w:pPr>
    </w:p>
    <w:p w14:paraId="5225A35A" w14:textId="77777777" w:rsidR="004F613F" w:rsidRPr="00182589" w:rsidRDefault="004F613F" w:rsidP="004F613F">
      <w:pPr>
        <w:jc w:val="left"/>
        <w:rPr>
          <w:rFonts w:cs="Arial"/>
          <w:sz w:val="24"/>
          <w:szCs w:val="24"/>
        </w:rPr>
      </w:pPr>
      <w:r>
        <w:rPr>
          <w:rFonts w:cs="Arial"/>
          <w:sz w:val="24"/>
          <w:szCs w:val="24"/>
        </w:rPr>
        <w:t>Cabinet</w:t>
      </w:r>
      <w:r w:rsidRPr="00182589">
        <w:rPr>
          <w:rFonts w:cs="Arial"/>
          <w:sz w:val="24"/>
          <w:szCs w:val="24"/>
        </w:rPr>
        <w:t xml:space="preserve"> would like to thank the members of Overview and Scrutiny Committee (Corporate) for their hard and detailed work in reviewing the proposals made for the 202</w:t>
      </w:r>
      <w:r>
        <w:rPr>
          <w:rFonts w:cs="Arial"/>
          <w:sz w:val="24"/>
          <w:szCs w:val="24"/>
        </w:rPr>
        <w:t>1</w:t>
      </w:r>
      <w:r w:rsidRPr="00182589">
        <w:rPr>
          <w:rFonts w:cs="Arial"/>
          <w:sz w:val="24"/>
          <w:szCs w:val="24"/>
        </w:rPr>
        <w:t>/2</w:t>
      </w:r>
      <w:r>
        <w:rPr>
          <w:rFonts w:cs="Arial"/>
          <w:sz w:val="24"/>
          <w:szCs w:val="24"/>
        </w:rPr>
        <w:t>2</w:t>
      </w:r>
      <w:r w:rsidRPr="00182589">
        <w:rPr>
          <w:rFonts w:cs="Arial"/>
          <w:sz w:val="24"/>
          <w:szCs w:val="24"/>
        </w:rPr>
        <w:t xml:space="preserve"> to 202</w:t>
      </w:r>
      <w:r>
        <w:rPr>
          <w:rFonts w:cs="Arial"/>
          <w:sz w:val="24"/>
          <w:szCs w:val="24"/>
        </w:rPr>
        <w:t>3</w:t>
      </w:r>
      <w:r w:rsidRPr="00182589">
        <w:rPr>
          <w:rFonts w:cs="Arial"/>
          <w:sz w:val="24"/>
          <w:szCs w:val="24"/>
        </w:rPr>
        <w:t>/2</w:t>
      </w:r>
      <w:r>
        <w:rPr>
          <w:rFonts w:cs="Arial"/>
          <w:sz w:val="24"/>
          <w:szCs w:val="24"/>
        </w:rPr>
        <w:t>4</w:t>
      </w:r>
      <w:r w:rsidRPr="00182589">
        <w:rPr>
          <w:rFonts w:cs="Arial"/>
          <w:sz w:val="24"/>
          <w:szCs w:val="24"/>
        </w:rPr>
        <w:t xml:space="preserve"> Medium Term Financial Strategy.</w:t>
      </w:r>
    </w:p>
    <w:p w14:paraId="08F89807" w14:textId="77777777" w:rsidR="004F613F" w:rsidRPr="00182589" w:rsidRDefault="004F613F" w:rsidP="004F613F">
      <w:pPr>
        <w:jc w:val="left"/>
        <w:rPr>
          <w:rFonts w:cs="Arial"/>
          <w:b/>
          <w:sz w:val="24"/>
          <w:szCs w:val="24"/>
        </w:rPr>
      </w:pPr>
    </w:p>
    <w:p w14:paraId="43ED0056" w14:textId="77777777" w:rsidR="004F613F" w:rsidRPr="00182589" w:rsidRDefault="004F613F" w:rsidP="004F613F">
      <w:pPr>
        <w:jc w:val="left"/>
        <w:rPr>
          <w:rFonts w:cs="Arial"/>
          <w:sz w:val="24"/>
          <w:szCs w:val="24"/>
        </w:rPr>
      </w:pPr>
      <w:r w:rsidRPr="00182589">
        <w:rPr>
          <w:rFonts w:cs="Arial"/>
          <w:sz w:val="24"/>
          <w:szCs w:val="24"/>
        </w:rPr>
        <w:t>I have set out my responses to each of the recommendations and conclusions made as part of the Overview and Scrutiny Committee’s report, below:</w:t>
      </w:r>
    </w:p>
    <w:p w14:paraId="7632BB21" w14:textId="77777777" w:rsidR="004F613F" w:rsidRPr="00182589" w:rsidRDefault="004F613F" w:rsidP="004F613F">
      <w:pPr>
        <w:jc w:val="left"/>
        <w:rPr>
          <w:rFonts w:cs="Arial"/>
          <w:sz w:val="24"/>
          <w:szCs w:val="24"/>
        </w:rPr>
      </w:pPr>
    </w:p>
    <w:p w14:paraId="1341E3AB" w14:textId="77777777" w:rsidR="004F613F" w:rsidRDefault="004F613F" w:rsidP="004F613F">
      <w:pPr>
        <w:jc w:val="left"/>
        <w:rPr>
          <w:rFonts w:cs="Arial"/>
        </w:rPr>
      </w:pPr>
    </w:p>
    <w:p w14:paraId="61C7C234" w14:textId="77777777" w:rsidR="004F613F" w:rsidRDefault="004F613F" w:rsidP="004F613F">
      <w:pPr>
        <w:numPr>
          <w:ilvl w:val="0"/>
          <w:numId w:val="59"/>
        </w:numPr>
        <w:rPr>
          <w:sz w:val="24"/>
          <w:szCs w:val="24"/>
        </w:rPr>
      </w:pPr>
      <w:r>
        <w:rPr>
          <w:sz w:val="24"/>
          <w:szCs w:val="24"/>
        </w:rPr>
        <w:t xml:space="preserve">That the effects of the Chancellor’s Spending Review on the proposed Medium Term Financial Strategy be welcomed. </w:t>
      </w:r>
    </w:p>
    <w:p w14:paraId="47722FBD" w14:textId="77777777" w:rsidR="004F613F" w:rsidRDefault="004F613F" w:rsidP="004F613F">
      <w:pPr>
        <w:rPr>
          <w:sz w:val="24"/>
          <w:szCs w:val="24"/>
        </w:rPr>
      </w:pPr>
    </w:p>
    <w:p w14:paraId="029E4041" w14:textId="77777777" w:rsidR="004F613F" w:rsidRPr="00182589" w:rsidRDefault="004F613F" w:rsidP="004F613F">
      <w:pPr>
        <w:ind w:left="720" w:hanging="720"/>
        <w:jc w:val="left"/>
        <w:rPr>
          <w:rFonts w:cs="Arial"/>
          <w:b/>
          <w:sz w:val="24"/>
          <w:szCs w:val="24"/>
        </w:rPr>
      </w:pPr>
      <w:r w:rsidRPr="00182589">
        <w:rPr>
          <w:rFonts w:cs="Arial"/>
          <w:b/>
          <w:sz w:val="24"/>
          <w:szCs w:val="24"/>
        </w:rPr>
        <w:t>RESPONSE –</w:t>
      </w:r>
    </w:p>
    <w:p w14:paraId="0C13A1E2" w14:textId="77777777" w:rsidR="004F613F" w:rsidRDefault="004F613F" w:rsidP="004F613F">
      <w:pPr>
        <w:rPr>
          <w:sz w:val="24"/>
          <w:szCs w:val="24"/>
        </w:rPr>
      </w:pPr>
    </w:p>
    <w:p w14:paraId="68360B48" w14:textId="77777777" w:rsidR="004F613F" w:rsidRPr="001A763A" w:rsidRDefault="004F613F" w:rsidP="004F613F">
      <w:pPr>
        <w:rPr>
          <w:b/>
          <w:sz w:val="24"/>
          <w:szCs w:val="24"/>
        </w:rPr>
      </w:pPr>
      <w:r w:rsidRPr="001A763A">
        <w:rPr>
          <w:b/>
          <w:sz w:val="24"/>
          <w:szCs w:val="24"/>
        </w:rPr>
        <w:t xml:space="preserve">The </w:t>
      </w:r>
      <w:r>
        <w:rPr>
          <w:b/>
          <w:sz w:val="24"/>
          <w:szCs w:val="24"/>
        </w:rPr>
        <w:t>Cabinet</w:t>
      </w:r>
      <w:r w:rsidRPr="001A763A">
        <w:rPr>
          <w:b/>
          <w:sz w:val="24"/>
          <w:szCs w:val="24"/>
        </w:rPr>
        <w:t xml:space="preserve"> welcomes the effects of the Chancellor’s Spending Review on the proposed Medium Term Financial Strategy.</w:t>
      </w:r>
    </w:p>
    <w:p w14:paraId="7C5BB21E" w14:textId="77777777" w:rsidR="004F613F" w:rsidRDefault="004F613F" w:rsidP="004F613F">
      <w:pPr>
        <w:ind w:left="720" w:hanging="720"/>
        <w:rPr>
          <w:b/>
          <w:sz w:val="24"/>
          <w:szCs w:val="24"/>
        </w:rPr>
      </w:pPr>
    </w:p>
    <w:p w14:paraId="64CD2C2C" w14:textId="77777777" w:rsidR="004F613F" w:rsidRDefault="004F613F" w:rsidP="004F613F">
      <w:pPr>
        <w:ind w:left="720" w:hanging="720"/>
        <w:rPr>
          <w:b/>
          <w:sz w:val="24"/>
          <w:szCs w:val="24"/>
        </w:rPr>
      </w:pPr>
    </w:p>
    <w:p w14:paraId="2E2476D1" w14:textId="77777777" w:rsidR="004F613F" w:rsidRDefault="004F613F" w:rsidP="004F613F">
      <w:pPr>
        <w:numPr>
          <w:ilvl w:val="0"/>
          <w:numId w:val="59"/>
        </w:numPr>
        <w:rPr>
          <w:sz w:val="24"/>
          <w:szCs w:val="24"/>
        </w:rPr>
      </w:pPr>
      <w:r>
        <w:rPr>
          <w:sz w:val="24"/>
          <w:szCs w:val="24"/>
        </w:rPr>
        <w:t>That the proposed increase in the Council’s element of the Council Tax for 2021/22 be supported.</w:t>
      </w:r>
    </w:p>
    <w:p w14:paraId="47EEF9CE" w14:textId="77777777" w:rsidR="004F613F" w:rsidRPr="004F613F" w:rsidRDefault="004F613F" w:rsidP="004F613F">
      <w:pPr>
        <w:rPr>
          <w:sz w:val="24"/>
          <w:szCs w:val="24"/>
        </w:rPr>
      </w:pPr>
    </w:p>
    <w:p w14:paraId="35F2316C" w14:textId="77777777" w:rsidR="004F613F" w:rsidRPr="00182589" w:rsidRDefault="004F613F" w:rsidP="004F613F">
      <w:pPr>
        <w:ind w:left="720" w:hanging="720"/>
        <w:jc w:val="left"/>
        <w:rPr>
          <w:rFonts w:cs="Arial"/>
          <w:b/>
          <w:sz w:val="24"/>
          <w:szCs w:val="24"/>
        </w:rPr>
      </w:pPr>
      <w:r w:rsidRPr="00182589">
        <w:rPr>
          <w:rFonts w:cs="Arial"/>
          <w:b/>
          <w:sz w:val="24"/>
          <w:szCs w:val="24"/>
        </w:rPr>
        <w:lastRenderedPageBreak/>
        <w:t>RESPONSE –</w:t>
      </w:r>
    </w:p>
    <w:p w14:paraId="275ED10E" w14:textId="77777777" w:rsidR="004F613F" w:rsidRPr="00182589" w:rsidRDefault="004F613F" w:rsidP="004F613F">
      <w:pPr>
        <w:ind w:left="720" w:hanging="720"/>
        <w:jc w:val="left"/>
        <w:rPr>
          <w:rFonts w:cs="Arial"/>
          <w:b/>
          <w:sz w:val="24"/>
          <w:szCs w:val="24"/>
        </w:rPr>
      </w:pPr>
    </w:p>
    <w:p w14:paraId="7B86D13C" w14:textId="77777777" w:rsidR="004F613F" w:rsidRPr="00182589" w:rsidRDefault="004F613F" w:rsidP="004F613F">
      <w:pPr>
        <w:jc w:val="left"/>
        <w:rPr>
          <w:rFonts w:cs="Arial"/>
          <w:b/>
          <w:sz w:val="24"/>
          <w:szCs w:val="24"/>
        </w:rPr>
      </w:pPr>
      <w:r w:rsidRPr="00182589">
        <w:rPr>
          <w:rFonts w:cs="Arial"/>
          <w:b/>
          <w:sz w:val="24"/>
          <w:szCs w:val="24"/>
        </w:rPr>
        <w:t>Thank you for your comments regarding Council Tax</w:t>
      </w:r>
      <w:r>
        <w:rPr>
          <w:rFonts w:cs="Arial"/>
          <w:b/>
          <w:sz w:val="24"/>
          <w:szCs w:val="24"/>
        </w:rPr>
        <w:t>.</w:t>
      </w:r>
    </w:p>
    <w:p w14:paraId="7E15F21D" w14:textId="77777777" w:rsidR="004F613F" w:rsidRDefault="004F613F" w:rsidP="004F613F">
      <w:pPr>
        <w:rPr>
          <w:sz w:val="24"/>
          <w:szCs w:val="24"/>
        </w:rPr>
      </w:pPr>
    </w:p>
    <w:p w14:paraId="2AF6448A" w14:textId="77777777" w:rsidR="004F613F" w:rsidRDefault="004F613F" w:rsidP="004F613F">
      <w:pPr>
        <w:rPr>
          <w:sz w:val="24"/>
          <w:szCs w:val="24"/>
        </w:rPr>
      </w:pPr>
    </w:p>
    <w:p w14:paraId="44B01B4E" w14:textId="77777777" w:rsidR="004F613F" w:rsidRDefault="004F613F" w:rsidP="004F613F">
      <w:pPr>
        <w:numPr>
          <w:ilvl w:val="0"/>
          <w:numId w:val="59"/>
        </w:numPr>
        <w:rPr>
          <w:sz w:val="24"/>
          <w:szCs w:val="24"/>
        </w:rPr>
      </w:pPr>
      <w:r>
        <w:rPr>
          <w:sz w:val="24"/>
          <w:szCs w:val="24"/>
        </w:rPr>
        <w:t>That the increase in the parking charge at Mansfield Woodhouse train station from £1.00 to £2.00 per day be supported.</w:t>
      </w:r>
    </w:p>
    <w:p w14:paraId="33144984" w14:textId="77777777" w:rsidR="004F613F" w:rsidRDefault="004F613F" w:rsidP="004F613F">
      <w:pPr>
        <w:rPr>
          <w:sz w:val="24"/>
          <w:szCs w:val="24"/>
        </w:rPr>
      </w:pPr>
    </w:p>
    <w:p w14:paraId="2C55200D" w14:textId="77777777" w:rsidR="004F613F" w:rsidRPr="00182589" w:rsidRDefault="004F613F" w:rsidP="004F613F">
      <w:pPr>
        <w:ind w:left="720" w:hanging="720"/>
        <w:jc w:val="left"/>
        <w:rPr>
          <w:rFonts w:cs="Arial"/>
          <w:b/>
          <w:sz w:val="24"/>
          <w:szCs w:val="24"/>
        </w:rPr>
      </w:pPr>
      <w:r w:rsidRPr="00182589">
        <w:rPr>
          <w:rFonts w:cs="Arial"/>
          <w:b/>
          <w:sz w:val="24"/>
          <w:szCs w:val="24"/>
        </w:rPr>
        <w:t>RESPONSE –</w:t>
      </w:r>
    </w:p>
    <w:p w14:paraId="58BB570E" w14:textId="77777777" w:rsidR="004F613F" w:rsidRPr="00182589" w:rsidRDefault="004F613F" w:rsidP="004F613F">
      <w:pPr>
        <w:ind w:left="720" w:hanging="720"/>
        <w:jc w:val="left"/>
        <w:rPr>
          <w:rFonts w:cs="Arial"/>
          <w:b/>
          <w:sz w:val="24"/>
          <w:szCs w:val="24"/>
        </w:rPr>
      </w:pPr>
    </w:p>
    <w:p w14:paraId="2607A71A" w14:textId="77777777" w:rsidR="004F613F" w:rsidRDefault="004F613F" w:rsidP="004F613F">
      <w:pPr>
        <w:jc w:val="left"/>
        <w:rPr>
          <w:rFonts w:cs="Arial"/>
          <w:b/>
          <w:sz w:val="24"/>
          <w:szCs w:val="24"/>
        </w:rPr>
      </w:pPr>
      <w:r w:rsidRPr="00182589">
        <w:rPr>
          <w:rFonts w:cs="Arial"/>
          <w:b/>
          <w:sz w:val="24"/>
          <w:szCs w:val="24"/>
        </w:rPr>
        <w:t>Thank you for you</w:t>
      </w:r>
      <w:r>
        <w:rPr>
          <w:rFonts w:cs="Arial"/>
          <w:b/>
          <w:sz w:val="24"/>
          <w:szCs w:val="24"/>
        </w:rPr>
        <w:t>r comments regarding the parking charge at Mansfield Woodhouse train station.</w:t>
      </w:r>
    </w:p>
    <w:p w14:paraId="0EA26352" w14:textId="77777777" w:rsidR="004F613F" w:rsidRDefault="004F613F" w:rsidP="004F613F">
      <w:pPr>
        <w:rPr>
          <w:sz w:val="24"/>
          <w:szCs w:val="24"/>
        </w:rPr>
      </w:pPr>
    </w:p>
    <w:p w14:paraId="06C8F039" w14:textId="77777777" w:rsidR="004F613F" w:rsidRDefault="004F613F" w:rsidP="004F613F">
      <w:pPr>
        <w:pStyle w:val="ListParagraph"/>
        <w:rPr>
          <w:sz w:val="24"/>
          <w:szCs w:val="24"/>
        </w:rPr>
      </w:pPr>
    </w:p>
    <w:p w14:paraId="65B46D5B" w14:textId="7DC93B61" w:rsidR="004F613F" w:rsidRDefault="004F613F" w:rsidP="004F613F">
      <w:pPr>
        <w:numPr>
          <w:ilvl w:val="0"/>
          <w:numId w:val="59"/>
        </w:numPr>
        <w:rPr>
          <w:sz w:val="24"/>
          <w:szCs w:val="24"/>
        </w:rPr>
      </w:pPr>
      <w:r>
        <w:rPr>
          <w:sz w:val="24"/>
          <w:szCs w:val="24"/>
        </w:rPr>
        <w:t>That My Mansfield be reduced from three editions annually to two and that the Executive’s proposal to reduce to one not be supported.</w:t>
      </w:r>
    </w:p>
    <w:p w14:paraId="3E507870" w14:textId="532D85B5" w:rsidR="004F613F" w:rsidRDefault="004F613F" w:rsidP="004F613F">
      <w:pPr>
        <w:rPr>
          <w:sz w:val="24"/>
          <w:szCs w:val="24"/>
        </w:rPr>
      </w:pPr>
    </w:p>
    <w:p w14:paraId="55D4342B" w14:textId="77777777" w:rsidR="004F613F" w:rsidRPr="009F25C4" w:rsidRDefault="004F613F" w:rsidP="004F613F">
      <w:pPr>
        <w:jc w:val="left"/>
        <w:rPr>
          <w:rFonts w:cs="Arial"/>
          <w:b/>
          <w:sz w:val="24"/>
          <w:szCs w:val="24"/>
        </w:rPr>
      </w:pPr>
      <w:r w:rsidRPr="009F25C4">
        <w:rPr>
          <w:rFonts w:cs="Arial"/>
          <w:b/>
          <w:sz w:val="24"/>
          <w:szCs w:val="24"/>
        </w:rPr>
        <w:t xml:space="preserve">RESPONSE – </w:t>
      </w:r>
    </w:p>
    <w:p w14:paraId="48E235FB" w14:textId="77777777" w:rsidR="004F613F" w:rsidRPr="009F25C4" w:rsidRDefault="004F613F" w:rsidP="004F613F">
      <w:pPr>
        <w:jc w:val="left"/>
        <w:rPr>
          <w:rFonts w:cs="Arial"/>
          <w:b/>
          <w:sz w:val="24"/>
          <w:szCs w:val="24"/>
        </w:rPr>
      </w:pPr>
    </w:p>
    <w:p w14:paraId="293DA84A" w14:textId="77777777" w:rsidR="004F613F" w:rsidRPr="009F25C4" w:rsidRDefault="004F613F" w:rsidP="004F613F">
      <w:pPr>
        <w:jc w:val="left"/>
        <w:rPr>
          <w:rFonts w:cs="Arial"/>
          <w:b/>
          <w:sz w:val="24"/>
          <w:szCs w:val="24"/>
        </w:rPr>
      </w:pPr>
      <w:r w:rsidRPr="009F25C4">
        <w:rPr>
          <w:rFonts w:cs="Arial"/>
          <w:b/>
          <w:sz w:val="24"/>
          <w:szCs w:val="24"/>
        </w:rPr>
        <w:t xml:space="preserve">The Cabinet are happy to accept this recommendation, </w:t>
      </w:r>
      <w:r>
        <w:rPr>
          <w:rFonts w:cs="Arial"/>
          <w:b/>
          <w:sz w:val="24"/>
          <w:szCs w:val="24"/>
        </w:rPr>
        <w:t xml:space="preserve">as the budget is still balanced with this reduction from three issues of My Mansfield to one. This </w:t>
      </w:r>
      <w:r w:rsidRPr="009F25C4">
        <w:rPr>
          <w:rFonts w:cs="Arial"/>
          <w:b/>
          <w:sz w:val="24"/>
          <w:szCs w:val="24"/>
        </w:rPr>
        <w:t xml:space="preserve">will </w:t>
      </w:r>
      <w:r>
        <w:rPr>
          <w:rFonts w:cs="Arial"/>
          <w:b/>
          <w:sz w:val="24"/>
          <w:szCs w:val="24"/>
        </w:rPr>
        <w:t xml:space="preserve">be </w:t>
      </w:r>
      <w:r w:rsidRPr="009F25C4">
        <w:rPr>
          <w:rFonts w:cs="Arial"/>
          <w:b/>
          <w:sz w:val="24"/>
          <w:szCs w:val="24"/>
        </w:rPr>
        <w:t>reflect</w:t>
      </w:r>
      <w:r>
        <w:rPr>
          <w:rFonts w:cs="Arial"/>
          <w:b/>
          <w:sz w:val="24"/>
          <w:szCs w:val="24"/>
        </w:rPr>
        <w:t>ed</w:t>
      </w:r>
      <w:r w:rsidRPr="009F25C4">
        <w:rPr>
          <w:rFonts w:cs="Arial"/>
          <w:b/>
          <w:sz w:val="24"/>
          <w:szCs w:val="24"/>
        </w:rPr>
        <w:t xml:space="preserve"> in the final budget which will be presented to Council on 21 January 2021; we thank Overview and Scrutiny for their comments</w:t>
      </w:r>
      <w:r>
        <w:rPr>
          <w:rFonts w:cs="Arial"/>
          <w:b/>
          <w:sz w:val="24"/>
          <w:szCs w:val="24"/>
        </w:rPr>
        <w:t>.</w:t>
      </w:r>
    </w:p>
    <w:p w14:paraId="3CDD9A8C" w14:textId="06C2B405" w:rsidR="004F613F" w:rsidRDefault="004F613F" w:rsidP="004F613F">
      <w:pPr>
        <w:rPr>
          <w:sz w:val="24"/>
          <w:szCs w:val="24"/>
        </w:rPr>
      </w:pPr>
    </w:p>
    <w:p w14:paraId="7680D890" w14:textId="77777777" w:rsidR="004F613F" w:rsidRPr="004F613F" w:rsidRDefault="004F613F" w:rsidP="004F613F">
      <w:pPr>
        <w:rPr>
          <w:sz w:val="24"/>
          <w:szCs w:val="24"/>
        </w:rPr>
      </w:pPr>
    </w:p>
    <w:p w14:paraId="1C7EB924" w14:textId="77777777" w:rsidR="004F613F" w:rsidRDefault="004F613F" w:rsidP="004F613F">
      <w:pPr>
        <w:numPr>
          <w:ilvl w:val="0"/>
          <w:numId w:val="59"/>
        </w:numPr>
        <w:rPr>
          <w:sz w:val="24"/>
          <w:szCs w:val="24"/>
        </w:rPr>
      </w:pPr>
      <w:r>
        <w:rPr>
          <w:sz w:val="24"/>
          <w:szCs w:val="24"/>
        </w:rPr>
        <w:t>That a 2% increase in fees and charges where the Council is responsible for setting such fees be supported.</w:t>
      </w:r>
    </w:p>
    <w:p w14:paraId="44914A1B" w14:textId="77777777" w:rsidR="004F613F" w:rsidRPr="004F613F" w:rsidRDefault="004F613F" w:rsidP="004F613F">
      <w:pPr>
        <w:rPr>
          <w:sz w:val="24"/>
          <w:szCs w:val="24"/>
        </w:rPr>
      </w:pPr>
    </w:p>
    <w:p w14:paraId="14D4D836" w14:textId="77777777" w:rsidR="004F613F" w:rsidRPr="00182589" w:rsidRDefault="004F613F" w:rsidP="004F613F">
      <w:pPr>
        <w:ind w:left="720" w:hanging="720"/>
        <w:jc w:val="left"/>
        <w:rPr>
          <w:rFonts w:cs="Arial"/>
          <w:b/>
          <w:sz w:val="24"/>
          <w:szCs w:val="24"/>
        </w:rPr>
      </w:pPr>
      <w:r w:rsidRPr="00182589">
        <w:rPr>
          <w:rFonts w:cs="Arial"/>
          <w:b/>
          <w:sz w:val="24"/>
          <w:szCs w:val="24"/>
        </w:rPr>
        <w:t>RESPONSE –</w:t>
      </w:r>
    </w:p>
    <w:p w14:paraId="44774065" w14:textId="77777777" w:rsidR="004F613F" w:rsidRPr="00182589" w:rsidRDefault="004F613F" w:rsidP="004F613F">
      <w:pPr>
        <w:ind w:left="720" w:hanging="720"/>
        <w:jc w:val="left"/>
        <w:rPr>
          <w:rFonts w:cs="Arial"/>
          <w:b/>
          <w:sz w:val="24"/>
          <w:szCs w:val="24"/>
        </w:rPr>
      </w:pPr>
    </w:p>
    <w:p w14:paraId="2DEE460C" w14:textId="77777777" w:rsidR="004F613F" w:rsidRDefault="004F613F" w:rsidP="004F613F">
      <w:pPr>
        <w:jc w:val="left"/>
        <w:rPr>
          <w:rFonts w:cs="Arial"/>
          <w:b/>
          <w:sz w:val="24"/>
          <w:szCs w:val="24"/>
        </w:rPr>
      </w:pPr>
      <w:r w:rsidRPr="00182589">
        <w:rPr>
          <w:rFonts w:cs="Arial"/>
          <w:b/>
          <w:sz w:val="24"/>
          <w:szCs w:val="24"/>
        </w:rPr>
        <w:t>Thank you for you</w:t>
      </w:r>
      <w:r>
        <w:rPr>
          <w:rFonts w:cs="Arial"/>
          <w:b/>
          <w:sz w:val="24"/>
          <w:szCs w:val="24"/>
        </w:rPr>
        <w:t>r comments regarding fees and charges.</w:t>
      </w:r>
    </w:p>
    <w:p w14:paraId="29020EA8" w14:textId="77777777" w:rsidR="004F613F" w:rsidRPr="00182589" w:rsidRDefault="004F613F" w:rsidP="004F613F">
      <w:pPr>
        <w:jc w:val="left"/>
        <w:rPr>
          <w:rFonts w:cs="Arial"/>
          <w:b/>
          <w:sz w:val="24"/>
          <w:szCs w:val="24"/>
        </w:rPr>
      </w:pPr>
    </w:p>
    <w:p w14:paraId="4EF903C5" w14:textId="77777777" w:rsidR="004F613F" w:rsidRPr="007D6848" w:rsidRDefault="004F613F" w:rsidP="004F613F">
      <w:pPr>
        <w:rPr>
          <w:sz w:val="24"/>
          <w:szCs w:val="24"/>
        </w:rPr>
      </w:pPr>
    </w:p>
    <w:p w14:paraId="42127402" w14:textId="77777777" w:rsidR="004F613F" w:rsidRDefault="004F613F" w:rsidP="004F613F">
      <w:pPr>
        <w:numPr>
          <w:ilvl w:val="0"/>
          <w:numId w:val="59"/>
        </w:numPr>
        <w:rPr>
          <w:sz w:val="24"/>
          <w:szCs w:val="24"/>
        </w:rPr>
      </w:pPr>
      <w:r>
        <w:rPr>
          <w:sz w:val="24"/>
          <w:szCs w:val="24"/>
        </w:rPr>
        <w:t>That the financial effect of the reduction in the number of the Executive be noted.</w:t>
      </w:r>
    </w:p>
    <w:p w14:paraId="58F94997" w14:textId="77777777" w:rsidR="004F613F" w:rsidRDefault="004F613F" w:rsidP="004F613F">
      <w:pPr>
        <w:rPr>
          <w:sz w:val="24"/>
          <w:szCs w:val="24"/>
        </w:rPr>
      </w:pPr>
    </w:p>
    <w:p w14:paraId="6E891007" w14:textId="77777777" w:rsidR="004F613F" w:rsidRPr="00182589" w:rsidRDefault="004F613F" w:rsidP="004F613F">
      <w:pPr>
        <w:ind w:left="720" w:hanging="720"/>
        <w:jc w:val="left"/>
        <w:rPr>
          <w:rFonts w:cs="Arial"/>
          <w:b/>
          <w:sz w:val="24"/>
          <w:szCs w:val="24"/>
        </w:rPr>
      </w:pPr>
      <w:r w:rsidRPr="00182589">
        <w:rPr>
          <w:rFonts w:cs="Arial"/>
          <w:b/>
          <w:sz w:val="24"/>
          <w:szCs w:val="24"/>
        </w:rPr>
        <w:lastRenderedPageBreak/>
        <w:t>RESPONSE –</w:t>
      </w:r>
      <w:r>
        <w:rPr>
          <w:rFonts w:cs="Arial"/>
          <w:b/>
          <w:sz w:val="24"/>
          <w:szCs w:val="24"/>
        </w:rPr>
        <w:t xml:space="preserve"> </w:t>
      </w:r>
    </w:p>
    <w:p w14:paraId="1B38C525" w14:textId="77777777" w:rsidR="004F613F" w:rsidRPr="00182589" w:rsidRDefault="004F613F" w:rsidP="004F613F">
      <w:pPr>
        <w:ind w:left="720" w:hanging="720"/>
        <w:jc w:val="left"/>
        <w:rPr>
          <w:rFonts w:cs="Arial"/>
          <w:b/>
          <w:sz w:val="24"/>
          <w:szCs w:val="24"/>
        </w:rPr>
      </w:pPr>
    </w:p>
    <w:p w14:paraId="6BEFE5CB" w14:textId="77777777" w:rsidR="004F613F" w:rsidRDefault="004F613F" w:rsidP="004F613F">
      <w:pPr>
        <w:jc w:val="left"/>
        <w:rPr>
          <w:rFonts w:cs="Arial"/>
          <w:b/>
          <w:sz w:val="24"/>
          <w:szCs w:val="24"/>
        </w:rPr>
      </w:pPr>
      <w:r w:rsidRPr="00182589">
        <w:rPr>
          <w:rFonts w:cs="Arial"/>
          <w:b/>
          <w:sz w:val="24"/>
          <w:szCs w:val="24"/>
        </w:rPr>
        <w:t>Thank you for you</w:t>
      </w:r>
      <w:r>
        <w:rPr>
          <w:rFonts w:cs="Arial"/>
          <w:b/>
          <w:sz w:val="24"/>
          <w:szCs w:val="24"/>
        </w:rPr>
        <w:t>r comments regarding the number of the Executive.</w:t>
      </w:r>
    </w:p>
    <w:p w14:paraId="2145139C" w14:textId="007B8CC3" w:rsidR="004F613F" w:rsidRDefault="004F613F" w:rsidP="004F613F">
      <w:pPr>
        <w:pStyle w:val="ListParagraph"/>
        <w:rPr>
          <w:sz w:val="24"/>
          <w:szCs w:val="24"/>
        </w:rPr>
      </w:pPr>
    </w:p>
    <w:p w14:paraId="720E1E36" w14:textId="77777777" w:rsidR="004F613F" w:rsidRDefault="004F613F" w:rsidP="004F613F">
      <w:pPr>
        <w:numPr>
          <w:ilvl w:val="0"/>
          <w:numId w:val="59"/>
        </w:numPr>
        <w:rPr>
          <w:sz w:val="24"/>
          <w:szCs w:val="24"/>
        </w:rPr>
      </w:pPr>
      <w:r>
        <w:rPr>
          <w:sz w:val="24"/>
          <w:szCs w:val="24"/>
        </w:rPr>
        <w:t xml:space="preserve">That Special Responsibility Allowances be reduced by 10% and that the involvement of the Council’s Independent Panel into Members’ Allowances be confirmed. </w:t>
      </w:r>
    </w:p>
    <w:p w14:paraId="22A9F5F4" w14:textId="77777777" w:rsidR="004F613F" w:rsidRDefault="004F613F" w:rsidP="004F613F">
      <w:pPr>
        <w:rPr>
          <w:sz w:val="24"/>
          <w:szCs w:val="24"/>
        </w:rPr>
      </w:pPr>
    </w:p>
    <w:p w14:paraId="6D4D60B0" w14:textId="77777777" w:rsidR="004F613F" w:rsidRPr="002A607F" w:rsidRDefault="004F613F" w:rsidP="004F613F">
      <w:pPr>
        <w:rPr>
          <w:b/>
          <w:sz w:val="24"/>
          <w:szCs w:val="24"/>
        </w:rPr>
      </w:pPr>
      <w:r w:rsidRPr="002A607F">
        <w:rPr>
          <w:b/>
          <w:sz w:val="24"/>
          <w:szCs w:val="24"/>
        </w:rPr>
        <w:t xml:space="preserve">RESPONSE – </w:t>
      </w:r>
    </w:p>
    <w:p w14:paraId="4C8331FA" w14:textId="77777777" w:rsidR="004F613F" w:rsidRDefault="004F613F" w:rsidP="004F613F">
      <w:pPr>
        <w:rPr>
          <w:sz w:val="24"/>
          <w:szCs w:val="24"/>
        </w:rPr>
      </w:pPr>
    </w:p>
    <w:p w14:paraId="60212F57" w14:textId="77777777" w:rsidR="004F613F" w:rsidRPr="00935951" w:rsidRDefault="004F613F" w:rsidP="004F613F">
      <w:pPr>
        <w:rPr>
          <w:b/>
          <w:sz w:val="24"/>
          <w:szCs w:val="24"/>
        </w:rPr>
      </w:pPr>
      <w:r>
        <w:rPr>
          <w:b/>
          <w:sz w:val="24"/>
          <w:szCs w:val="24"/>
        </w:rPr>
        <w:t xml:space="preserve">The Cabinet is happy to investigate a 10% reduction in the Special Responsibility Allowance, however, this is dependent on the involvement of the </w:t>
      </w:r>
      <w:r w:rsidRPr="00935951">
        <w:rPr>
          <w:b/>
          <w:sz w:val="24"/>
          <w:szCs w:val="24"/>
        </w:rPr>
        <w:t>Council’s Independent Panel into Members’ Allowances</w:t>
      </w:r>
      <w:r>
        <w:rPr>
          <w:b/>
          <w:sz w:val="24"/>
          <w:szCs w:val="24"/>
        </w:rPr>
        <w:t>, as to whether this can be implemented in time for the start of the 2021/22 financial year.</w:t>
      </w:r>
    </w:p>
    <w:p w14:paraId="59BB39C3" w14:textId="553898CB" w:rsidR="004F613F" w:rsidRDefault="004F613F" w:rsidP="004F613F">
      <w:pPr>
        <w:rPr>
          <w:rFonts w:ascii="Calibri" w:eastAsia="Calibri" w:hAnsi="Calibri"/>
          <w:sz w:val="24"/>
          <w:szCs w:val="24"/>
          <w:lang w:eastAsia="en-US"/>
        </w:rPr>
      </w:pPr>
    </w:p>
    <w:p w14:paraId="774A8274" w14:textId="77777777" w:rsidR="004F613F" w:rsidRPr="004F613F" w:rsidRDefault="004F613F" w:rsidP="004F613F">
      <w:pPr>
        <w:rPr>
          <w:sz w:val="24"/>
          <w:szCs w:val="24"/>
        </w:rPr>
      </w:pPr>
    </w:p>
    <w:p w14:paraId="7EA3C7D3" w14:textId="77777777" w:rsidR="004F613F" w:rsidRDefault="004F613F" w:rsidP="004F613F">
      <w:pPr>
        <w:numPr>
          <w:ilvl w:val="0"/>
          <w:numId w:val="59"/>
        </w:numPr>
        <w:rPr>
          <w:sz w:val="24"/>
          <w:szCs w:val="24"/>
        </w:rPr>
      </w:pPr>
      <w:r>
        <w:rPr>
          <w:sz w:val="24"/>
          <w:szCs w:val="24"/>
        </w:rPr>
        <w:t>That there be no reduction in the level of the Ward Allowance.</w:t>
      </w:r>
    </w:p>
    <w:p w14:paraId="6C35EF9F" w14:textId="77777777" w:rsidR="004F613F" w:rsidRPr="004F613F" w:rsidRDefault="004F613F" w:rsidP="004F613F">
      <w:pPr>
        <w:rPr>
          <w:sz w:val="24"/>
          <w:szCs w:val="24"/>
        </w:rPr>
      </w:pPr>
    </w:p>
    <w:p w14:paraId="6C369E45" w14:textId="77777777" w:rsidR="004F613F" w:rsidRPr="00182589" w:rsidRDefault="004F613F" w:rsidP="004F613F">
      <w:pPr>
        <w:jc w:val="left"/>
        <w:rPr>
          <w:rFonts w:cs="Arial"/>
          <w:b/>
          <w:sz w:val="24"/>
          <w:szCs w:val="24"/>
        </w:rPr>
      </w:pPr>
      <w:r w:rsidRPr="00182589">
        <w:rPr>
          <w:rFonts w:cs="Arial"/>
          <w:b/>
          <w:sz w:val="24"/>
          <w:szCs w:val="24"/>
        </w:rPr>
        <w:t xml:space="preserve">RESPONSE – </w:t>
      </w:r>
    </w:p>
    <w:p w14:paraId="0662B27C" w14:textId="77777777" w:rsidR="004F613F" w:rsidRPr="00182589" w:rsidRDefault="004F613F" w:rsidP="004F613F">
      <w:pPr>
        <w:jc w:val="left"/>
        <w:rPr>
          <w:rFonts w:cs="Arial"/>
          <w:b/>
          <w:sz w:val="24"/>
          <w:szCs w:val="24"/>
        </w:rPr>
      </w:pPr>
    </w:p>
    <w:p w14:paraId="1365E470" w14:textId="77777777" w:rsidR="004F613F" w:rsidRDefault="004F613F" w:rsidP="004F613F">
      <w:pPr>
        <w:jc w:val="left"/>
        <w:rPr>
          <w:rFonts w:cs="Arial"/>
          <w:b/>
          <w:sz w:val="24"/>
          <w:szCs w:val="24"/>
        </w:rPr>
      </w:pPr>
      <w:r w:rsidRPr="00182589">
        <w:rPr>
          <w:rFonts w:cs="Arial"/>
          <w:b/>
          <w:sz w:val="24"/>
          <w:szCs w:val="24"/>
        </w:rPr>
        <w:t>The Cabinet are happy to accept this recommendation, and will reflect such in the final budget which wi</w:t>
      </w:r>
      <w:r>
        <w:rPr>
          <w:rFonts w:cs="Arial"/>
          <w:b/>
          <w:sz w:val="24"/>
          <w:szCs w:val="24"/>
        </w:rPr>
        <w:t>ll be presented to Council on 21</w:t>
      </w:r>
      <w:r w:rsidRPr="00182589">
        <w:rPr>
          <w:rFonts w:cs="Arial"/>
          <w:b/>
          <w:sz w:val="24"/>
          <w:szCs w:val="24"/>
        </w:rPr>
        <w:t xml:space="preserve"> January 202</w:t>
      </w:r>
      <w:r>
        <w:rPr>
          <w:rFonts w:cs="Arial"/>
          <w:b/>
          <w:sz w:val="24"/>
          <w:szCs w:val="24"/>
        </w:rPr>
        <w:t>1</w:t>
      </w:r>
      <w:r w:rsidRPr="00182589">
        <w:rPr>
          <w:rFonts w:cs="Arial"/>
          <w:b/>
          <w:sz w:val="24"/>
          <w:szCs w:val="24"/>
        </w:rPr>
        <w:t>; we thank Overview and Scrutiny for their comments</w:t>
      </w:r>
    </w:p>
    <w:p w14:paraId="46F968AA" w14:textId="77777777" w:rsidR="004F613F" w:rsidRPr="00182589" w:rsidRDefault="004F613F" w:rsidP="004F613F">
      <w:pPr>
        <w:jc w:val="left"/>
        <w:rPr>
          <w:rFonts w:cs="Arial"/>
          <w:b/>
          <w:sz w:val="24"/>
          <w:szCs w:val="24"/>
        </w:rPr>
      </w:pPr>
    </w:p>
    <w:p w14:paraId="693122A3" w14:textId="77777777" w:rsidR="004F613F" w:rsidRPr="007D6848" w:rsidRDefault="004F613F" w:rsidP="004F613F">
      <w:pPr>
        <w:rPr>
          <w:sz w:val="24"/>
          <w:szCs w:val="24"/>
        </w:rPr>
      </w:pPr>
    </w:p>
    <w:p w14:paraId="1D0AC21A" w14:textId="77777777" w:rsidR="004F613F" w:rsidRDefault="004F613F" w:rsidP="004F613F">
      <w:pPr>
        <w:numPr>
          <w:ilvl w:val="0"/>
          <w:numId w:val="59"/>
        </w:numPr>
        <w:rPr>
          <w:sz w:val="24"/>
          <w:szCs w:val="24"/>
        </w:rPr>
      </w:pPr>
      <w:r>
        <w:rPr>
          <w:sz w:val="24"/>
          <w:szCs w:val="24"/>
        </w:rPr>
        <w:t>That any budget General Fund surplus from these proposals be transferred to the Economic Stimulus Fund.</w:t>
      </w:r>
    </w:p>
    <w:p w14:paraId="40C50EBA" w14:textId="77777777" w:rsidR="004F613F" w:rsidRPr="00D464A6" w:rsidRDefault="004F613F" w:rsidP="004F613F">
      <w:pPr>
        <w:rPr>
          <w:b/>
          <w:sz w:val="24"/>
          <w:szCs w:val="24"/>
        </w:rPr>
      </w:pPr>
    </w:p>
    <w:p w14:paraId="62D2C0A6" w14:textId="77777777" w:rsidR="004F613F" w:rsidRPr="00D464A6" w:rsidRDefault="004F613F" w:rsidP="004F613F">
      <w:pPr>
        <w:rPr>
          <w:b/>
          <w:sz w:val="24"/>
          <w:szCs w:val="24"/>
        </w:rPr>
      </w:pPr>
      <w:r w:rsidRPr="00D464A6">
        <w:rPr>
          <w:b/>
          <w:sz w:val="24"/>
          <w:szCs w:val="24"/>
        </w:rPr>
        <w:t xml:space="preserve">RESPONSE – </w:t>
      </w:r>
    </w:p>
    <w:p w14:paraId="4A357A4B" w14:textId="77777777" w:rsidR="004F613F" w:rsidRDefault="004F613F" w:rsidP="004F613F">
      <w:pPr>
        <w:rPr>
          <w:sz w:val="24"/>
          <w:szCs w:val="24"/>
        </w:rPr>
      </w:pPr>
    </w:p>
    <w:p w14:paraId="00A16EDC" w14:textId="77777777" w:rsidR="004F613F" w:rsidRPr="00182589" w:rsidRDefault="004F613F" w:rsidP="004F613F">
      <w:pPr>
        <w:jc w:val="left"/>
        <w:rPr>
          <w:rFonts w:cs="Arial"/>
          <w:b/>
          <w:sz w:val="24"/>
          <w:szCs w:val="24"/>
        </w:rPr>
      </w:pPr>
      <w:r w:rsidRPr="00182589">
        <w:rPr>
          <w:rFonts w:cs="Arial"/>
          <w:b/>
          <w:sz w:val="24"/>
          <w:szCs w:val="24"/>
        </w:rPr>
        <w:t xml:space="preserve">The </w:t>
      </w:r>
      <w:r>
        <w:rPr>
          <w:rFonts w:cs="Arial"/>
          <w:b/>
          <w:sz w:val="24"/>
          <w:szCs w:val="24"/>
        </w:rPr>
        <w:t xml:space="preserve">amount available to transfer to the Economic Stimulus Fund will depend on the figures that are derived from the Local Government Finance Settlement, whilst also taking account of the effects of Covid-19 on the Council’s budget in 2021/22. </w:t>
      </w:r>
    </w:p>
    <w:p w14:paraId="7FBD26BA" w14:textId="7F4E8473" w:rsidR="004F613F" w:rsidRDefault="004F613F" w:rsidP="004F613F">
      <w:pPr>
        <w:rPr>
          <w:rFonts w:ascii="Calibri" w:eastAsia="Calibri" w:hAnsi="Calibri"/>
          <w:sz w:val="24"/>
          <w:szCs w:val="24"/>
          <w:lang w:eastAsia="en-US"/>
        </w:rPr>
      </w:pPr>
    </w:p>
    <w:p w14:paraId="023C3AC6" w14:textId="77777777" w:rsidR="004F613F" w:rsidRPr="004F613F" w:rsidRDefault="004F613F" w:rsidP="004F613F">
      <w:pPr>
        <w:rPr>
          <w:sz w:val="24"/>
          <w:szCs w:val="24"/>
        </w:rPr>
      </w:pPr>
    </w:p>
    <w:p w14:paraId="1683A41C" w14:textId="77777777" w:rsidR="004F613F" w:rsidRDefault="004F613F" w:rsidP="004F613F">
      <w:pPr>
        <w:numPr>
          <w:ilvl w:val="0"/>
          <w:numId w:val="59"/>
        </w:numPr>
        <w:rPr>
          <w:sz w:val="24"/>
          <w:szCs w:val="24"/>
        </w:rPr>
      </w:pPr>
      <w:r>
        <w:rPr>
          <w:sz w:val="24"/>
          <w:szCs w:val="24"/>
        </w:rPr>
        <w:lastRenderedPageBreak/>
        <w:t>That the increase in Council house rents in line with Government rent guidelines be noted.</w:t>
      </w:r>
    </w:p>
    <w:p w14:paraId="533B876F" w14:textId="77777777" w:rsidR="004F613F" w:rsidRPr="004F613F" w:rsidRDefault="004F613F" w:rsidP="004F613F">
      <w:pPr>
        <w:rPr>
          <w:sz w:val="24"/>
          <w:szCs w:val="24"/>
        </w:rPr>
      </w:pPr>
    </w:p>
    <w:p w14:paraId="2DC78F2F" w14:textId="77777777" w:rsidR="004F613F" w:rsidRPr="00182589" w:rsidRDefault="004F613F" w:rsidP="004F613F">
      <w:pPr>
        <w:ind w:left="720" w:hanging="720"/>
        <w:jc w:val="left"/>
        <w:rPr>
          <w:rFonts w:cs="Arial"/>
          <w:b/>
          <w:sz w:val="24"/>
          <w:szCs w:val="24"/>
        </w:rPr>
      </w:pPr>
      <w:r w:rsidRPr="00182589">
        <w:rPr>
          <w:rFonts w:cs="Arial"/>
          <w:b/>
          <w:sz w:val="24"/>
          <w:szCs w:val="24"/>
        </w:rPr>
        <w:t>RESPONSE –</w:t>
      </w:r>
    </w:p>
    <w:p w14:paraId="5BCCBA17" w14:textId="77777777" w:rsidR="004F613F" w:rsidRPr="00182589" w:rsidRDefault="004F613F" w:rsidP="004F613F">
      <w:pPr>
        <w:ind w:left="720" w:hanging="720"/>
        <w:jc w:val="left"/>
        <w:rPr>
          <w:rFonts w:cs="Arial"/>
          <w:b/>
          <w:sz w:val="24"/>
          <w:szCs w:val="24"/>
        </w:rPr>
      </w:pPr>
    </w:p>
    <w:p w14:paraId="5D2F351D" w14:textId="547DDA53" w:rsidR="004F613F" w:rsidRPr="004F613F" w:rsidRDefault="004F613F" w:rsidP="004F613F">
      <w:pPr>
        <w:jc w:val="left"/>
        <w:rPr>
          <w:rFonts w:cs="Arial"/>
          <w:b/>
          <w:sz w:val="24"/>
          <w:szCs w:val="24"/>
        </w:rPr>
      </w:pPr>
      <w:r w:rsidRPr="00182589">
        <w:rPr>
          <w:rFonts w:cs="Arial"/>
          <w:b/>
          <w:sz w:val="24"/>
          <w:szCs w:val="24"/>
        </w:rPr>
        <w:t>Thank you for your comments regarding Council dwelling rents</w:t>
      </w:r>
    </w:p>
    <w:p w14:paraId="77159277" w14:textId="77777777" w:rsidR="004F613F" w:rsidRDefault="004F613F" w:rsidP="004F613F">
      <w:pPr>
        <w:pStyle w:val="ListParagraph"/>
        <w:rPr>
          <w:sz w:val="24"/>
          <w:szCs w:val="24"/>
        </w:rPr>
      </w:pPr>
    </w:p>
    <w:p w14:paraId="11A0E5E1" w14:textId="77777777" w:rsidR="004F613F" w:rsidRPr="00BD2FA5" w:rsidRDefault="004F613F" w:rsidP="004F613F">
      <w:pPr>
        <w:numPr>
          <w:ilvl w:val="0"/>
          <w:numId w:val="59"/>
        </w:numPr>
        <w:rPr>
          <w:sz w:val="24"/>
          <w:szCs w:val="24"/>
        </w:rPr>
      </w:pPr>
      <w:r>
        <w:rPr>
          <w:sz w:val="24"/>
          <w:szCs w:val="24"/>
        </w:rPr>
        <w:t>That the Consolidated General Fund and Housing Revenue Account Capital programmes be supported.</w:t>
      </w:r>
    </w:p>
    <w:p w14:paraId="649FABF2" w14:textId="77777777" w:rsidR="004F613F" w:rsidRPr="00182589" w:rsidRDefault="004F613F" w:rsidP="004F613F">
      <w:pPr>
        <w:jc w:val="left"/>
        <w:rPr>
          <w:rFonts w:cs="Arial"/>
          <w:sz w:val="24"/>
          <w:szCs w:val="24"/>
        </w:rPr>
      </w:pPr>
    </w:p>
    <w:p w14:paraId="5C94607E" w14:textId="77777777" w:rsidR="004F613F" w:rsidRPr="00182589" w:rsidRDefault="004F613F" w:rsidP="004F613F">
      <w:pPr>
        <w:ind w:left="720" w:hanging="720"/>
        <w:jc w:val="left"/>
        <w:rPr>
          <w:rFonts w:cs="Arial"/>
          <w:b/>
          <w:sz w:val="24"/>
          <w:szCs w:val="24"/>
        </w:rPr>
      </w:pPr>
      <w:r w:rsidRPr="00182589">
        <w:rPr>
          <w:rFonts w:cs="Arial"/>
          <w:b/>
          <w:sz w:val="24"/>
          <w:szCs w:val="24"/>
        </w:rPr>
        <w:t>RESPONSE –</w:t>
      </w:r>
    </w:p>
    <w:p w14:paraId="4346AC19" w14:textId="77777777" w:rsidR="004F613F" w:rsidRPr="00182589" w:rsidRDefault="004F613F" w:rsidP="004F613F">
      <w:pPr>
        <w:ind w:left="720" w:hanging="720"/>
        <w:jc w:val="left"/>
        <w:rPr>
          <w:rFonts w:cs="Arial"/>
          <w:b/>
          <w:sz w:val="24"/>
          <w:szCs w:val="24"/>
        </w:rPr>
      </w:pPr>
    </w:p>
    <w:p w14:paraId="09450B42" w14:textId="77777777" w:rsidR="004F613F" w:rsidRPr="00182589" w:rsidRDefault="004F613F" w:rsidP="004F613F">
      <w:pPr>
        <w:jc w:val="left"/>
        <w:rPr>
          <w:rFonts w:cs="Arial"/>
          <w:b/>
          <w:sz w:val="24"/>
          <w:szCs w:val="24"/>
        </w:rPr>
      </w:pPr>
      <w:r>
        <w:rPr>
          <w:rFonts w:cs="Arial"/>
          <w:b/>
          <w:sz w:val="24"/>
          <w:szCs w:val="24"/>
        </w:rPr>
        <w:t>Cabinet</w:t>
      </w:r>
      <w:r w:rsidRPr="00182589">
        <w:rPr>
          <w:rFonts w:cs="Arial"/>
          <w:b/>
          <w:sz w:val="24"/>
          <w:szCs w:val="24"/>
        </w:rPr>
        <w:t xml:space="preserve"> thank Overview and Scrutiny (Corporate) for their support of the Con</w:t>
      </w:r>
      <w:r>
        <w:rPr>
          <w:rFonts w:cs="Arial"/>
          <w:b/>
          <w:sz w:val="24"/>
          <w:szCs w:val="24"/>
        </w:rPr>
        <w:t>solidated Capital Programme 2021</w:t>
      </w:r>
      <w:r w:rsidRPr="00182589">
        <w:rPr>
          <w:rFonts w:cs="Arial"/>
          <w:b/>
          <w:sz w:val="24"/>
          <w:szCs w:val="24"/>
        </w:rPr>
        <w:t>/2</w:t>
      </w:r>
      <w:r>
        <w:rPr>
          <w:rFonts w:cs="Arial"/>
          <w:b/>
          <w:sz w:val="24"/>
          <w:szCs w:val="24"/>
        </w:rPr>
        <w:t>2 to 2023</w:t>
      </w:r>
      <w:r w:rsidRPr="00182589">
        <w:rPr>
          <w:rFonts w:cs="Arial"/>
          <w:b/>
          <w:sz w:val="24"/>
          <w:szCs w:val="24"/>
        </w:rPr>
        <w:t>/2</w:t>
      </w:r>
      <w:r>
        <w:rPr>
          <w:rFonts w:cs="Arial"/>
          <w:b/>
          <w:sz w:val="24"/>
          <w:szCs w:val="24"/>
        </w:rPr>
        <w:t>4</w:t>
      </w:r>
      <w:r w:rsidRPr="00182589">
        <w:rPr>
          <w:rFonts w:cs="Arial"/>
          <w:b/>
          <w:sz w:val="24"/>
          <w:szCs w:val="24"/>
        </w:rPr>
        <w:t>.</w:t>
      </w:r>
    </w:p>
    <w:p w14:paraId="38CDA417" w14:textId="77777777" w:rsidR="004F613F" w:rsidRDefault="004F613F" w:rsidP="004F613F">
      <w:pPr>
        <w:jc w:val="left"/>
        <w:rPr>
          <w:rFonts w:cs="Arial"/>
          <w:sz w:val="24"/>
          <w:szCs w:val="24"/>
        </w:rPr>
      </w:pPr>
    </w:p>
    <w:p w14:paraId="441CDA46" w14:textId="77777777" w:rsidR="004F613F" w:rsidRPr="00182589" w:rsidRDefault="004F613F" w:rsidP="004F613F">
      <w:pPr>
        <w:jc w:val="left"/>
        <w:rPr>
          <w:rFonts w:cs="Arial"/>
          <w:sz w:val="24"/>
          <w:szCs w:val="24"/>
        </w:rPr>
      </w:pPr>
    </w:p>
    <w:p w14:paraId="21EE9A0E" w14:textId="77777777" w:rsidR="004F613F" w:rsidRPr="00182589" w:rsidRDefault="004F613F" w:rsidP="004F613F">
      <w:pPr>
        <w:jc w:val="left"/>
        <w:rPr>
          <w:rFonts w:cs="Arial"/>
          <w:sz w:val="24"/>
          <w:szCs w:val="24"/>
        </w:rPr>
      </w:pPr>
      <w:r w:rsidRPr="00182589">
        <w:rPr>
          <w:rFonts w:cs="Arial"/>
          <w:sz w:val="24"/>
          <w:szCs w:val="24"/>
        </w:rPr>
        <w:t>Once again</w:t>
      </w:r>
      <w:r>
        <w:rPr>
          <w:rFonts w:cs="Arial"/>
          <w:sz w:val="24"/>
          <w:szCs w:val="24"/>
        </w:rPr>
        <w:t xml:space="preserve"> Cabinet</w:t>
      </w:r>
      <w:r w:rsidRPr="00182589">
        <w:rPr>
          <w:rFonts w:cs="Arial"/>
          <w:sz w:val="24"/>
          <w:szCs w:val="24"/>
        </w:rPr>
        <w:t xml:space="preserve"> would like to thank Overview and Scrutiny Committee for its comments.</w:t>
      </w:r>
    </w:p>
    <w:p w14:paraId="5998D0C5" w14:textId="77777777" w:rsidR="004F613F" w:rsidRDefault="004F613F" w:rsidP="004F613F">
      <w:pPr>
        <w:jc w:val="left"/>
        <w:rPr>
          <w:rFonts w:cs="Arial"/>
        </w:rPr>
      </w:pPr>
    </w:p>
    <w:p w14:paraId="568DEC8F" w14:textId="77777777" w:rsidR="004F613F" w:rsidRDefault="004F613F" w:rsidP="004F613F">
      <w:pPr>
        <w:jc w:val="left"/>
        <w:rPr>
          <w:rFonts w:cs="Arial"/>
        </w:rPr>
      </w:pPr>
    </w:p>
    <w:p w14:paraId="1DB8FF5F" w14:textId="77777777" w:rsidR="004F613F" w:rsidRPr="00FB7614" w:rsidRDefault="004F613F" w:rsidP="004F613F">
      <w:pPr>
        <w:rPr>
          <w:sz w:val="24"/>
          <w:szCs w:val="24"/>
        </w:rPr>
      </w:pPr>
      <w:r w:rsidRPr="00FB7614">
        <w:rPr>
          <w:b/>
          <w:sz w:val="24"/>
          <w:szCs w:val="24"/>
        </w:rPr>
        <w:t>4.</w:t>
      </w:r>
      <w:r w:rsidRPr="00FB7614">
        <w:rPr>
          <w:b/>
          <w:sz w:val="24"/>
          <w:szCs w:val="24"/>
        </w:rPr>
        <w:tab/>
        <w:t>COMMENTS OF STATUTORY OFFICERS</w:t>
      </w:r>
    </w:p>
    <w:p w14:paraId="5D2995AF" w14:textId="77777777" w:rsidR="004F613F" w:rsidRPr="00FB7614" w:rsidRDefault="004F613F" w:rsidP="004F613F">
      <w:pPr>
        <w:rPr>
          <w:sz w:val="24"/>
          <w:szCs w:val="24"/>
        </w:rPr>
      </w:pPr>
    </w:p>
    <w:p w14:paraId="1F6040EE" w14:textId="77777777" w:rsidR="004F613F" w:rsidRPr="00FB7614" w:rsidRDefault="004F613F" w:rsidP="004F613F">
      <w:pPr>
        <w:ind w:left="720" w:hanging="720"/>
        <w:rPr>
          <w:sz w:val="24"/>
          <w:szCs w:val="24"/>
        </w:rPr>
      </w:pPr>
      <w:r w:rsidRPr="00FB7614">
        <w:rPr>
          <w:sz w:val="24"/>
          <w:szCs w:val="24"/>
        </w:rPr>
        <w:t>(a)</w:t>
      </w:r>
      <w:r w:rsidRPr="00FB7614">
        <w:rPr>
          <w:sz w:val="24"/>
          <w:szCs w:val="24"/>
        </w:rPr>
        <w:tab/>
        <w:t xml:space="preserve">Head of Paid Service </w:t>
      </w:r>
      <w:r>
        <w:rPr>
          <w:sz w:val="24"/>
          <w:szCs w:val="24"/>
        </w:rPr>
        <w:t>–</w:t>
      </w:r>
      <w:r w:rsidRPr="00FB7614">
        <w:rPr>
          <w:sz w:val="24"/>
          <w:szCs w:val="24"/>
        </w:rPr>
        <w:t xml:space="preserve"> </w:t>
      </w:r>
      <w:r>
        <w:rPr>
          <w:sz w:val="24"/>
          <w:szCs w:val="24"/>
        </w:rPr>
        <w:t>No specific comments.</w:t>
      </w:r>
    </w:p>
    <w:p w14:paraId="4AA7A295" w14:textId="77777777" w:rsidR="004F613F" w:rsidRPr="00FB7614" w:rsidRDefault="004F613F" w:rsidP="004F613F">
      <w:pPr>
        <w:rPr>
          <w:sz w:val="24"/>
          <w:szCs w:val="24"/>
        </w:rPr>
      </w:pPr>
    </w:p>
    <w:p w14:paraId="1C1509D8" w14:textId="77777777" w:rsidR="004F613F" w:rsidRDefault="004F613F" w:rsidP="004F613F">
      <w:pPr>
        <w:ind w:left="720" w:hanging="720"/>
        <w:rPr>
          <w:sz w:val="24"/>
          <w:szCs w:val="24"/>
        </w:rPr>
      </w:pPr>
      <w:r w:rsidRPr="00FB7614">
        <w:rPr>
          <w:sz w:val="24"/>
          <w:szCs w:val="24"/>
        </w:rPr>
        <w:t>(b)</w:t>
      </w:r>
      <w:r w:rsidRPr="00FB7614">
        <w:rPr>
          <w:sz w:val="24"/>
          <w:szCs w:val="24"/>
        </w:rPr>
        <w:tab/>
      </w:r>
      <w:r>
        <w:rPr>
          <w:sz w:val="24"/>
          <w:szCs w:val="24"/>
        </w:rPr>
        <w:t xml:space="preserve">Deputy </w:t>
      </w:r>
      <w:r w:rsidRPr="00FB7614">
        <w:rPr>
          <w:sz w:val="24"/>
          <w:szCs w:val="24"/>
        </w:rPr>
        <w:t xml:space="preserve">Monitoring Officer </w:t>
      </w:r>
      <w:r>
        <w:rPr>
          <w:sz w:val="24"/>
          <w:szCs w:val="24"/>
        </w:rPr>
        <w:t>–</w:t>
      </w:r>
      <w:r w:rsidRPr="00FB7614">
        <w:rPr>
          <w:sz w:val="24"/>
          <w:szCs w:val="24"/>
        </w:rPr>
        <w:t xml:space="preserve"> </w:t>
      </w:r>
      <w:r>
        <w:rPr>
          <w:sz w:val="24"/>
          <w:szCs w:val="24"/>
        </w:rPr>
        <w:t>No specific comments.</w:t>
      </w:r>
    </w:p>
    <w:p w14:paraId="6E276388" w14:textId="77777777" w:rsidR="004F613F" w:rsidRPr="00FB7614" w:rsidRDefault="004F613F" w:rsidP="004F613F">
      <w:pPr>
        <w:ind w:left="720" w:hanging="720"/>
        <w:rPr>
          <w:sz w:val="24"/>
          <w:szCs w:val="24"/>
        </w:rPr>
      </w:pPr>
    </w:p>
    <w:p w14:paraId="78223DDB" w14:textId="77777777" w:rsidR="004F613F" w:rsidRPr="00FB7614" w:rsidRDefault="004F613F" w:rsidP="004F613F">
      <w:pPr>
        <w:ind w:left="720" w:hanging="720"/>
        <w:rPr>
          <w:sz w:val="24"/>
          <w:szCs w:val="24"/>
        </w:rPr>
      </w:pPr>
      <w:r w:rsidRPr="00FB7614">
        <w:rPr>
          <w:sz w:val="24"/>
          <w:szCs w:val="24"/>
        </w:rPr>
        <w:t>(c)</w:t>
      </w:r>
      <w:r w:rsidRPr="00FB7614">
        <w:rPr>
          <w:sz w:val="24"/>
          <w:szCs w:val="24"/>
        </w:rPr>
        <w:tab/>
        <w:t xml:space="preserve">Section 151 Officer </w:t>
      </w:r>
      <w:r>
        <w:rPr>
          <w:sz w:val="24"/>
          <w:szCs w:val="24"/>
        </w:rPr>
        <w:t>–</w:t>
      </w:r>
      <w:r w:rsidRPr="00FB7614">
        <w:rPr>
          <w:sz w:val="24"/>
          <w:szCs w:val="24"/>
        </w:rPr>
        <w:t xml:space="preserve"> </w:t>
      </w:r>
      <w:r>
        <w:rPr>
          <w:sz w:val="24"/>
          <w:szCs w:val="24"/>
        </w:rPr>
        <w:t>The changes accepted by Cabinet still produce a balanced budget, in line with statutory requirements.</w:t>
      </w:r>
    </w:p>
    <w:p w14:paraId="54ABF8A9" w14:textId="77777777" w:rsidR="004F613F" w:rsidRPr="00FB7614" w:rsidRDefault="004F613F" w:rsidP="004F613F">
      <w:pPr>
        <w:ind w:left="720" w:hanging="720"/>
        <w:rPr>
          <w:sz w:val="24"/>
          <w:szCs w:val="24"/>
        </w:rPr>
      </w:pPr>
    </w:p>
    <w:p w14:paraId="646F6035" w14:textId="77777777" w:rsidR="004F613F" w:rsidRPr="00FB7614" w:rsidRDefault="004F613F" w:rsidP="004F613F">
      <w:pPr>
        <w:rPr>
          <w:sz w:val="24"/>
          <w:szCs w:val="24"/>
        </w:rPr>
      </w:pPr>
    </w:p>
    <w:p w14:paraId="1FCAB1EA" w14:textId="77777777" w:rsidR="004F613F" w:rsidRPr="00FB7614" w:rsidRDefault="004F613F" w:rsidP="004F613F">
      <w:pPr>
        <w:rPr>
          <w:b/>
          <w:sz w:val="24"/>
          <w:szCs w:val="24"/>
        </w:rPr>
      </w:pPr>
      <w:r w:rsidRPr="00FB7614">
        <w:rPr>
          <w:b/>
          <w:sz w:val="24"/>
          <w:szCs w:val="24"/>
        </w:rPr>
        <w:t>5.</w:t>
      </w:r>
      <w:r w:rsidRPr="00FB7614">
        <w:rPr>
          <w:b/>
          <w:sz w:val="24"/>
          <w:szCs w:val="24"/>
        </w:rPr>
        <w:tab/>
        <w:t>BACKGROUND PAPERS</w:t>
      </w:r>
    </w:p>
    <w:p w14:paraId="3E181D9F" w14:textId="77777777" w:rsidR="004F613F" w:rsidRPr="00FB7614" w:rsidRDefault="004F613F" w:rsidP="004F613F">
      <w:pPr>
        <w:rPr>
          <w:sz w:val="24"/>
          <w:szCs w:val="24"/>
        </w:rPr>
      </w:pPr>
    </w:p>
    <w:p w14:paraId="3E353EC5" w14:textId="77777777" w:rsidR="004F613F" w:rsidRPr="00FB7614" w:rsidRDefault="004F613F" w:rsidP="004F613F">
      <w:pPr>
        <w:rPr>
          <w:sz w:val="24"/>
          <w:szCs w:val="24"/>
        </w:rPr>
      </w:pPr>
      <w:r w:rsidRPr="00FB7614">
        <w:rPr>
          <w:sz w:val="24"/>
          <w:szCs w:val="24"/>
        </w:rPr>
        <w:tab/>
        <w:t>Budget papers held in the Accountancy</w:t>
      </w:r>
      <w:r>
        <w:rPr>
          <w:sz w:val="24"/>
          <w:szCs w:val="24"/>
        </w:rPr>
        <w:t xml:space="preserve"> section</w:t>
      </w:r>
      <w:r w:rsidRPr="00FB7614">
        <w:rPr>
          <w:sz w:val="24"/>
          <w:szCs w:val="24"/>
        </w:rPr>
        <w:t>.</w:t>
      </w:r>
    </w:p>
    <w:p w14:paraId="1BB5D586" w14:textId="77777777" w:rsidR="004F613F" w:rsidRPr="00FB7614" w:rsidRDefault="004F613F" w:rsidP="004F613F">
      <w:pPr>
        <w:rPr>
          <w:sz w:val="24"/>
          <w:szCs w:val="24"/>
        </w:rPr>
      </w:pPr>
    </w:p>
    <w:tbl>
      <w:tblPr>
        <w:tblW w:w="0" w:type="auto"/>
        <w:tblLook w:val="01E0" w:firstRow="1" w:lastRow="1" w:firstColumn="1" w:lastColumn="1" w:noHBand="0" w:noVBand="0"/>
      </w:tblPr>
      <w:tblGrid>
        <w:gridCol w:w="1788"/>
        <w:gridCol w:w="296"/>
        <w:gridCol w:w="6910"/>
      </w:tblGrid>
      <w:tr w:rsidR="004F613F" w:rsidRPr="00FB7614" w14:paraId="12EF1661" w14:textId="77777777" w:rsidTr="005943A6">
        <w:tc>
          <w:tcPr>
            <w:tcW w:w="1788" w:type="dxa"/>
            <w:shd w:val="clear" w:color="auto" w:fill="auto"/>
          </w:tcPr>
          <w:p w14:paraId="29CD33DF" w14:textId="77777777" w:rsidR="004F613F" w:rsidRPr="00FB7614" w:rsidRDefault="004F613F" w:rsidP="005943A6">
            <w:pPr>
              <w:rPr>
                <w:rFonts w:cs="Arial"/>
                <w:sz w:val="24"/>
                <w:szCs w:val="24"/>
              </w:rPr>
            </w:pPr>
            <w:r w:rsidRPr="00FB7614">
              <w:rPr>
                <w:rFonts w:cs="Arial"/>
                <w:sz w:val="24"/>
                <w:szCs w:val="24"/>
              </w:rPr>
              <w:t>Report Author</w:t>
            </w:r>
          </w:p>
        </w:tc>
        <w:tc>
          <w:tcPr>
            <w:tcW w:w="296" w:type="dxa"/>
            <w:shd w:val="clear" w:color="auto" w:fill="auto"/>
          </w:tcPr>
          <w:p w14:paraId="404BC2B6" w14:textId="77777777" w:rsidR="004F613F" w:rsidRPr="00FB7614" w:rsidRDefault="004F613F" w:rsidP="005943A6">
            <w:pPr>
              <w:rPr>
                <w:rFonts w:cs="Arial"/>
                <w:sz w:val="24"/>
                <w:szCs w:val="24"/>
              </w:rPr>
            </w:pPr>
            <w:r w:rsidRPr="00FB7614">
              <w:rPr>
                <w:rFonts w:cs="Arial"/>
                <w:sz w:val="24"/>
                <w:szCs w:val="24"/>
              </w:rPr>
              <w:t>-</w:t>
            </w:r>
          </w:p>
        </w:tc>
        <w:tc>
          <w:tcPr>
            <w:tcW w:w="6910" w:type="dxa"/>
            <w:shd w:val="clear" w:color="auto" w:fill="auto"/>
          </w:tcPr>
          <w:p w14:paraId="35798BA5" w14:textId="77777777" w:rsidR="004F613F" w:rsidRPr="00FB7614" w:rsidRDefault="004F613F" w:rsidP="005943A6">
            <w:pPr>
              <w:rPr>
                <w:rFonts w:cs="Arial"/>
                <w:sz w:val="24"/>
                <w:szCs w:val="24"/>
              </w:rPr>
            </w:pPr>
            <w:r>
              <w:rPr>
                <w:rFonts w:cs="Arial"/>
                <w:sz w:val="24"/>
                <w:szCs w:val="24"/>
              </w:rPr>
              <w:t>Emma Cable</w:t>
            </w:r>
          </w:p>
        </w:tc>
      </w:tr>
      <w:tr w:rsidR="004F613F" w:rsidRPr="00FB7614" w14:paraId="013C5D91" w14:textId="77777777" w:rsidTr="005943A6">
        <w:tc>
          <w:tcPr>
            <w:tcW w:w="1788" w:type="dxa"/>
            <w:shd w:val="clear" w:color="auto" w:fill="auto"/>
          </w:tcPr>
          <w:p w14:paraId="793A4E1E" w14:textId="77777777" w:rsidR="004F613F" w:rsidRPr="00FB7614" w:rsidRDefault="004F613F" w:rsidP="005943A6">
            <w:pPr>
              <w:rPr>
                <w:rFonts w:cs="Arial"/>
                <w:sz w:val="24"/>
                <w:szCs w:val="24"/>
              </w:rPr>
            </w:pPr>
            <w:r w:rsidRPr="00FB7614">
              <w:rPr>
                <w:rFonts w:cs="Arial"/>
                <w:sz w:val="24"/>
                <w:szCs w:val="24"/>
              </w:rPr>
              <w:t>Designation</w:t>
            </w:r>
          </w:p>
        </w:tc>
        <w:tc>
          <w:tcPr>
            <w:tcW w:w="296" w:type="dxa"/>
            <w:shd w:val="clear" w:color="auto" w:fill="auto"/>
          </w:tcPr>
          <w:p w14:paraId="4CD3CEA8" w14:textId="77777777" w:rsidR="004F613F" w:rsidRPr="00FB7614" w:rsidRDefault="004F613F" w:rsidP="005943A6">
            <w:pPr>
              <w:rPr>
                <w:rFonts w:cs="Arial"/>
                <w:sz w:val="24"/>
                <w:szCs w:val="24"/>
              </w:rPr>
            </w:pPr>
            <w:r w:rsidRPr="00FB7614">
              <w:rPr>
                <w:rFonts w:cs="Arial"/>
                <w:sz w:val="24"/>
                <w:szCs w:val="24"/>
              </w:rPr>
              <w:t>-</w:t>
            </w:r>
          </w:p>
        </w:tc>
        <w:tc>
          <w:tcPr>
            <w:tcW w:w="6910" w:type="dxa"/>
            <w:shd w:val="clear" w:color="auto" w:fill="auto"/>
          </w:tcPr>
          <w:p w14:paraId="74ABE350" w14:textId="77777777" w:rsidR="004F613F" w:rsidRPr="00FB7614" w:rsidRDefault="004F613F" w:rsidP="005943A6">
            <w:pPr>
              <w:rPr>
                <w:rFonts w:cs="Arial"/>
                <w:sz w:val="24"/>
                <w:szCs w:val="24"/>
              </w:rPr>
            </w:pPr>
            <w:r>
              <w:rPr>
                <w:rFonts w:cs="Arial"/>
                <w:sz w:val="24"/>
                <w:szCs w:val="24"/>
              </w:rPr>
              <w:t>Financial</w:t>
            </w:r>
            <w:r w:rsidRPr="00FB7614">
              <w:rPr>
                <w:rFonts w:cs="Arial"/>
                <w:sz w:val="24"/>
                <w:szCs w:val="24"/>
              </w:rPr>
              <w:t xml:space="preserve"> Services Manager</w:t>
            </w:r>
          </w:p>
        </w:tc>
      </w:tr>
      <w:tr w:rsidR="004F613F" w:rsidRPr="00FB7614" w14:paraId="2950BBAA" w14:textId="77777777" w:rsidTr="005943A6">
        <w:tc>
          <w:tcPr>
            <w:tcW w:w="1788" w:type="dxa"/>
            <w:shd w:val="clear" w:color="auto" w:fill="auto"/>
          </w:tcPr>
          <w:p w14:paraId="03DE2D91" w14:textId="77777777" w:rsidR="004F613F" w:rsidRPr="00FB7614" w:rsidRDefault="004F613F" w:rsidP="005943A6">
            <w:pPr>
              <w:rPr>
                <w:rFonts w:cs="Arial"/>
                <w:sz w:val="24"/>
                <w:szCs w:val="24"/>
              </w:rPr>
            </w:pPr>
            <w:r w:rsidRPr="00FB7614">
              <w:rPr>
                <w:rFonts w:cs="Arial"/>
                <w:sz w:val="24"/>
                <w:szCs w:val="24"/>
              </w:rPr>
              <w:t>Telephone</w:t>
            </w:r>
          </w:p>
        </w:tc>
        <w:tc>
          <w:tcPr>
            <w:tcW w:w="296" w:type="dxa"/>
            <w:shd w:val="clear" w:color="auto" w:fill="auto"/>
          </w:tcPr>
          <w:p w14:paraId="7D86B564" w14:textId="77777777" w:rsidR="004F613F" w:rsidRPr="00FB7614" w:rsidRDefault="004F613F" w:rsidP="005943A6">
            <w:pPr>
              <w:rPr>
                <w:rFonts w:cs="Arial"/>
                <w:sz w:val="24"/>
                <w:szCs w:val="24"/>
              </w:rPr>
            </w:pPr>
            <w:r w:rsidRPr="00FB7614">
              <w:rPr>
                <w:rFonts w:cs="Arial"/>
                <w:sz w:val="24"/>
                <w:szCs w:val="24"/>
              </w:rPr>
              <w:t>-</w:t>
            </w:r>
          </w:p>
        </w:tc>
        <w:tc>
          <w:tcPr>
            <w:tcW w:w="6910" w:type="dxa"/>
            <w:shd w:val="clear" w:color="auto" w:fill="auto"/>
          </w:tcPr>
          <w:p w14:paraId="33E9BEFD" w14:textId="77777777" w:rsidR="004F613F" w:rsidRPr="00FB7614" w:rsidRDefault="004F613F" w:rsidP="005943A6">
            <w:pPr>
              <w:rPr>
                <w:rFonts w:cs="Arial"/>
                <w:sz w:val="24"/>
                <w:szCs w:val="24"/>
              </w:rPr>
            </w:pPr>
            <w:r w:rsidRPr="00FB7614">
              <w:rPr>
                <w:rFonts w:cs="Arial"/>
                <w:sz w:val="24"/>
                <w:szCs w:val="24"/>
              </w:rPr>
              <w:t>01623 463</w:t>
            </w:r>
            <w:r>
              <w:rPr>
                <w:rFonts w:cs="Arial"/>
                <w:sz w:val="24"/>
                <w:szCs w:val="24"/>
              </w:rPr>
              <w:t>495</w:t>
            </w:r>
          </w:p>
        </w:tc>
      </w:tr>
      <w:tr w:rsidR="004F613F" w:rsidRPr="00FB7614" w14:paraId="16571B14" w14:textId="77777777" w:rsidTr="005943A6">
        <w:tc>
          <w:tcPr>
            <w:tcW w:w="1788" w:type="dxa"/>
            <w:shd w:val="clear" w:color="auto" w:fill="auto"/>
          </w:tcPr>
          <w:p w14:paraId="193C34BD" w14:textId="77777777" w:rsidR="004F613F" w:rsidRPr="00FB7614" w:rsidRDefault="004F613F" w:rsidP="005943A6">
            <w:pPr>
              <w:rPr>
                <w:rFonts w:cs="Arial"/>
                <w:sz w:val="24"/>
                <w:szCs w:val="24"/>
              </w:rPr>
            </w:pPr>
            <w:r w:rsidRPr="00FB7614">
              <w:rPr>
                <w:rFonts w:cs="Arial"/>
                <w:sz w:val="24"/>
                <w:szCs w:val="24"/>
              </w:rPr>
              <w:lastRenderedPageBreak/>
              <w:t>E-mail</w:t>
            </w:r>
          </w:p>
        </w:tc>
        <w:tc>
          <w:tcPr>
            <w:tcW w:w="296" w:type="dxa"/>
            <w:shd w:val="clear" w:color="auto" w:fill="auto"/>
          </w:tcPr>
          <w:p w14:paraId="35BFF12E" w14:textId="77777777" w:rsidR="004F613F" w:rsidRPr="00FB7614" w:rsidRDefault="004F613F" w:rsidP="005943A6">
            <w:pPr>
              <w:rPr>
                <w:rFonts w:cs="Arial"/>
                <w:sz w:val="24"/>
                <w:szCs w:val="24"/>
              </w:rPr>
            </w:pPr>
            <w:r w:rsidRPr="00FB7614">
              <w:rPr>
                <w:rFonts w:cs="Arial"/>
                <w:sz w:val="24"/>
                <w:szCs w:val="24"/>
              </w:rPr>
              <w:t>-</w:t>
            </w:r>
          </w:p>
        </w:tc>
        <w:tc>
          <w:tcPr>
            <w:tcW w:w="6910" w:type="dxa"/>
            <w:shd w:val="clear" w:color="auto" w:fill="auto"/>
          </w:tcPr>
          <w:p w14:paraId="1F94463B" w14:textId="77777777" w:rsidR="004F613F" w:rsidRPr="00FB7614" w:rsidRDefault="00CF7D45" w:rsidP="005943A6">
            <w:pPr>
              <w:rPr>
                <w:rFonts w:cs="Arial"/>
                <w:sz w:val="24"/>
                <w:szCs w:val="24"/>
              </w:rPr>
            </w:pPr>
            <w:hyperlink r:id="rId12" w:history="1">
              <w:r w:rsidR="004F613F" w:rsidRPr="00223584">
                <w:rPr>
                  <w:rStyle w:val="Hyperlink"/>
                  <w:rFonts w:cs="Arial"/>
                  <w:sz w:val="24"/>
                  <w:szCs w:val="24"/>
                </w:rPr>
                <w:t>ecable@mansfield.gov.uk</w:t>
              </w:r>
            </w:hyperlink>
            <w:r w:rsidR="004F613F" w:rsidRPr="00FB7614">
              <w:rPr>
                <w:rFonts w:cs="Arial"/>
                <w:sz w:val="24"/>
                <w:szCs w:val="24"/>
              </w:rPr>
              <w:t xml:space="preserve"> </w:t>
            </w:r>
          </w:p>
        </w:tc>
      </w:tr>
    </w:tbl>
    <w:p w14:paraId="5D89C647" w14:textId="6DC8DE2C" w:rsidR="00AB5B59" w:rsidRPr="00CB4506" w:rsidRDefault="00AB5B59" w:rsidP="004F613F">
      <w:pPr>
        <w:rPr>
          <w:rFonts w:cs="Arial"/>
          <w:sz w:val="2"/>
          <w:szCs w:val="2"/>
        </w:rPr>
      </w:pPr>
    </w:p>
    <w:sectPr w:rsidR="00AB5B59" w:rsidRPr="00CB4506" w:rsidSect="00D83E9C">
      <w:headerReference w:type="even" r:id="rId13"/>
      <w:headerReference w:type="default" r:id="rId14"/>
      <w:head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A6183" w14:textId="77777777" w:rsidR="000C400B" w:rsidRDefault="000C400B">
      <w:r>
        <w:separator/>
      </w:r>
    </w:p>
  </w:endnote>
  <w:endnote w:type="continuationSeparator" w:id="0">
    <w:p w14:paraId="422F3A83" w14:textId="77777777" w:rsidR="000C400B" w:rsidRDefault="000C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4469D" w14:textId="77777777" w:rsidR="000C400B" w:rsidRDefault="000C400B">
      <w:r>
        <w:separator/>
      </w:r>
    </w:p>
  </w:footnote>
  <w:footnote w:type="continuationSeparator" w:id="0">
    <w:p w14:paraId="64AEFBE4" w14:textId="77777777" w:rsidR="000C400B" w:rsidRDefault="000C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ED35C" w14:textId="77777777" w:rsidR="000C400B" w:rsidRPr="00BE210E" w:rsidRDefault="000C400B" w:rsidP="00BE210E">
    <w:pPr>
      <w:pStyle w:val="Header"/>
      <w:jc w:val="right"/>
      <w:rPr>
        <w:rFonts w:cs="Arial"/>
        <w:sz w:val="18"/>
        <w:szCs w:val="18"/>
      </w:rPr>
    </w:pPr>
    <w:r w:rsidRPr="00BE210E">
      <w:rPr>
        <w:rFonts w:cs="Arial"/>
        <w:sz w:val="18"/>
        <w:szCs w:val="18"/>
      </w:rPr>
      <w:t>MANSFIELD DISTRICT COUNCIL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69CF6" w14:textId="77777777" w:rsidR="000C400B" w:rsidRDefault="000C40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89CE6" w14:textId="77777777" w:rsidR="000C400B" w:rsidRPr="00BE210E" w:rsidRDefault="000C400B" w:rsidP="00BE210E">
    <w:pPr>
      <w:pStyle w:val="Header"/>
      <w:jc w:val="right"/>
      <w:rPr>
        <w:rFonts w:cs="Arial"/>
        <w:sz w:val="18"/>
        <w:szCs w:val="18"/>
      </w:rPr>
    </w:pPr>
    <w:r w:rsidRPr="00BE210E">
      <w:rPr>
        <w:rFonts w:cs="Arial"/>
        <w:sz w:val="18"/>
        <w:szCs w:val="18"/>
      </w:rPr>
      <w:t>MANSFIELD DISTRICT COUNCIL</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45EF9" w14:textId="77777777" w:rsidR="000C400B" w:rsidRDefault="000C4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6E2"/>
    <w:multiLevelType w:val="hybridMultilevel"/>
    <w:tmpl w:val="EF0670CC"/>
    <w:lvl w:ilvl="0" w:tplc="B656AB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D5311"/>
    <w:multiLevelType w:val="hybridMultilevel"/>
    <w:tmpl w:val="134467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031E1D"/>
    <w:multiLevelType w:val="hybridMultilevel"/>
    <w:tmpl w:val="F7AAD4B8"/>
    <w:lvl w:ilvl="0" w:tplc="4446AFD0">
      <w:start w:val="1"/>
      <w:numFmt w:val="bullet"/>
      <w:lvlText w:val="•"/>
      <w:lvlJc w:val="left"/>
      <w:pPr>
        <w:tabs>
          <w:tab w:val="num" w:pos="720"/>
        </w:tabs>
        <w:ind w:left="720" w:hanging="360"/>
      </w:pPr>
      <w:rPr>
        <w:rFonts w:ascii="Arial" w:hAnsi="Arial" w:hint="default"/>
      </w:rPr>
    </w:lvl>
    <w:lvl w:ilvl="1" w:tplc="388233C0">
      <w:start w:val="2905"/>
      <w:numFmt w:val="bullet"/>
      <w:lvlText w:val="–"/>
      <w:lvlJc w:val="left"/>
      <w:pPr>
        <w:tabs>
          <w:tab w:val="num" w:pos="1440"/>
        </w:tabs>
        <w:ind w:left="1440" w:hanging="360"/>
      </w:pPr>
      <w:rPr>
        <w:rFonts w:ascii="Arial" w:hAnsi="Arial" w:hint="default"/>
      </w:rPr>
    </w:lvl>
    <w:lvl w:ilvl="2" w:tplc="B20AD478">
      <w:start w:val="2905"/>
      <w:numFmt w:val="bullet"/>
      <w:lvlText w:val="•"/>
      <w:lvlJc w:val="left"/>
      <w:pPr>
        <w:tabs>
          <w:tab w:val="num" w:pos="2160"/>
        </w:tabs>
        <w:ind w:left="2160" w:hanging="360"/>
      </w:pPr>
      <w:rPr>
        <w:rFonts w:ascii="Arial" w:hAnsi="Arial" w:hint="default"/>
      </w:rPr>
    </w:lvl>
    <w:lvl w:ilvl="3" w:tplc="93ACDAA0" w:tentative="1">
      <w:start w:val="1"/>
      <w:numFmt w:val="bullet"/>
      <w:lvlText w:val="•"/>
      <w:lvlJc w:val="left"/>
      <w:pPr>
        <w:tabs>
          <w:tab w:val="num" w:pos="2880"/>
        </w:tabs>
        <w:ind w:left="2880" w:hanging="360"/>
      </w:pPr>
      <w:rPr>
        <w:rFonts w:ascii="Arial" w:hAnsi="Arial" w:hint="default"/>
      </w:rPr>
    </w:lvl>
    <w:lvl w:ilvl="4" w:tplc="AA2040C0" w:tentative="1">
      <w:start w:val="1"/>
      <w:numFmt w:val="bullet"/>
      <w:lvlText w:val="•"/>
      <w:lvlJc w:val="left"/>
      <w:pPr>
        <w:tabs>
          <w:tab w:val="num" w:pos="3600"/>
        </w:tabs>
        <w:ind w:left="3600" w:hanging="360"/>
      </w:pPr>
      <w:rPr>
        <w:rFonts w:ascii="Arial" w:hAnsi="Arial" w:hint="default"/>
      </w:rPr>
    </w:lvl>
    <w:lvl w:ilvl="5" w:tplc="991E7CC2" w:tentative="1">
      <w:start w:val="1"/>
      <w:numFmt w:val="bullet"/>
      <w:lvlText w:val="•"/>
      <w:lvlJc w:val="left"/>
      <w:pPr>
        <w:tabs>
          <w:tab w:val="num" w:pos="4320"/>
        </w:tabs>
        <w:ind w:left="4320" w:hanging="360"/>
      </w:pPr>
      <w:rPr>
        <w:rFonts w:ascii="Arial" w:hAnsi="Arial" w:hint="default"/>
      </w:rPr>
    </w:lvl>
    <w:lvl w:ilvl="6" w:tplc="C10A3CB4" w:tentative="1">
      <w:start w:val="1"/>
      <w:numFmt w:val="bullet"/>
      <w:lvlText w:val="•"/>
      <w:lvlJc w:val="left"/>
      <w:pPr>
        <w:tabs>
          <w:tab w:val="num" w:pos="5040"/>
        </w:tabs>
        <w:ind w:left="5040" w:hanging="360"/>
      </w:pPr>
      <w:rPr>
        <w:rFonts w:ascii="Arial" w:hAnsi="Arial" w:hint="default"/>
      </w:rPr>
    </w:lvl>
    <w:lvl w:ilvl="7" w:tplc="3D8C7E82" w:tentative="1">
      <w:start w:val="1"/>
      <w:numFmt w:val="bullet"/>
      <w:lvlText w:val="•"/>
      <w:lvlJc w:val="left"/>
      <w:pPr>
        <w:tabs>
          <w:tab w:val="num" w:pos="5760"/>
        </w:tabs>
        <w:ind w:left="5760" w:hanging="360"/>
      </w:pPr>
      <w:rPr>
        <w:rFonts w:ascii="Arial" w:hAnsi="Arial" w:hint="default"/>
      </w:rPr>
    </w:lvl>
    <w:lvl w:ilvl="8" w:tplc="BA782E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4940E1"/>
    <w:multiLevelType w:val="hybridMultilevel"/>
    <w:tmpl w:val="9820951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15:restartNumberingAfterBreak="0">
    <w:nsid w:val="0B9B6EB1"/>
    <w:multiLevelType w:val="hybridMultilevel"/>
    <w:tmpl w:val="6462A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93465"/>
    <w:multiLevelType w:val="hybridMultilevel"/>
    <w:tmpl w:val="A3C66AE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DE07E0D"/>
    <w:multiLevelType w:val="hybridMultilevel"/>
    <w:tmpl w:val="366AE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EB31557"/>
    <w:multiLevelType w:val="hybridMultilevel"/>
    <w:tmpl w:val="6816A270"/>
    <w:lvl w:ilvl="0" w:tplc="1088B3F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51750DE"/>
    <w:multiLevelType w:val="hybridMultilevel"/>
    <w:tmpl w:val="4C2E1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064BB2"/>
    <w:multiLevelType w:val="hybridMultilevel"/>
    <w:tmpl w:val="CEEEF8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E50537"/>
    <w:multiLevelType w:val="hybridMultilevel"/>
    <w:tmpl w:val="59C8AB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B23D61"/>
    <w:multiLevelType w:val="hybridMultilevel"/>
    <w:tmpl w:val="FED84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71E56"/>
    <w:multiLevelType w:val="hybridMultilevel"/>
    <w:tmpl w:val="E640E16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3" w15:restartNumberingAfterBreak="0">
    <w:nsid w:val="289C31B5"/>
    <w:multiLevelType w:val="multilevel"/>
    <w:tmpl w:val="10D8A32A"/>
    <w:lvl w:ilvl="0">
      <w:start w:val="1"/>
      <w:numFmt w:val="decimal"/>
      <w:lvlText w:val="%1."/>
      <w:lvlJc w:val="left"/>
      <w:pPr>
        <w:ind w:left="357" w:hanging="357"/>
      </w:pPr>
      <w:rPr>
        <w:rFonts w:cs="Times New Roman" w:hint="default"/>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14" w15:restartNumberingAfterBreak="0">
    <w:nsid w:val="28F45BDC"/>
    <w:multiLevelType w:val="hybridMultilevel"/>
    <w:tmpl w:val="C3400B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75867"/>
    <w:multiLevelType w:val="hybridMultilevel"/>
    <w:tmpl w:val="3F4E1E4E"/>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073D9C"/>
    <w:multiLevelType w:val="hybridMultilevel"/>
    <w:tmpl w:val="7EFC1F18"/>
    <w:lvl w:ilvl="0" w:tplc="5C384612">
      <w:start w:val="1"/>
      <w:numFmt w:val="bullet"/>
      <w:lvlText w:val="–"/>
      <w:lvlJc w:val="left"/>
      <w:pPr>
        <w:tabs>
          <w:tab w:val="num" w:pos="720"/>
        </w:tabs>
        <w:ind w:left="720" w:hanging="360"/>
      </w:pPr>
      <w:rPr>
        <w:rFonts w:ascii="Arial" w:hAnsi="Arial" w:hint="default"/>
      </w:rPr>
    </w:lvl>
    <w:lvl w:ilvl="1" w:tplc="A582122A">
      <w:start w:val="1"/>
      <w:numFmt w:val="bullet"/>
      <w:lvlText w:val="–"/>
      <w:lvlJc w:val="left"/>
      <w:pPr>
        <w:tabs>
          <w:tab w:val="num" w:pos="1440"/>
        </w:tabs>
        <w:ind w:left="1440" w:hanging="360"/>
      </w:pPr>
      <w:rPr>
        <w:rFonts w:ascii="Arial" w:hAnsi="Arial" w:hint="default"/>
      </w:rPr>
    </w:lvl>
    <w:lvl w:ilvl="2" w:tplc="2BE8F046" w:tentative="1">
      <w:start w:val="1"/>
      <w:numFmt w:val="bullet"/>
      <w:lvlText w:val="–"/>
      <w:lvlJc w:val="left"/>
      <w:pPr>
        <w:tabs>
          <w:tab w:val="num" w:pos="2160"/>
        </w:tabs>
        <w:ind w:left="2160" w:hanging="360"/>
      </w:pPr>
      <w:rPr>
        <w:rFonts w:ascii="Arial" w:hAnsi="Arial" w:hint="default"/>
      </w:rPr>
    </w:lvl>
    <w:lvl w:ilvl="3" w:tplc="3CA6191E" w:tentative="1">
      <w:start w:val="1"/>
      <w:numFmt w:val="bullet"/>
      <w:lvlText w:val="–"/>
      <w:lvlJc w:val="left"/>
      <w:pPr>
        <w:tabs>
          <w:tab w:val="num" w:pos="2880"/>
        </w:tabs>
        <w:ind w:left="2880" w:hanging="360"/>
      </w:pPr>
      <w:rPr>
        <w:rFonts w:ascii="Arial" w:hAnsi="Arial" w:hint="default"/>
      </w:rPr>
    </w:lvl>
    <w:lvl w:ilvl="4" w:tplc="FFFC0FF8" w:tentative="1">
      <w:start w:val="1"/>
      <w:numFmt w:val="bullet"/>
      <w:lvlText w:val="–"/>
      <w:lvlJc w:val="left"/>
      <w:pPr>
        <w:tabs>
          <w:tab w:val="num" w:pos="3600"/>
        </w:tabs>
        <w:ind w:left="3600" w:hanging="360"/>
      </w:pPr>
      <w:rPr>
        <w:rFonts w:ascii="Arial" w:hAnsi="Arial" w:hint="default"/>
      </w:rPr>
    </w:lvl>
    <w:lvl w:ilvl="5" w:tplc="E7986D9A" w:tentative="1">
      <w:start w:val="1"/>
      <w:numFmt w:val="bullet"/>
      <w:lvlText w:val="–"/>
      <w:lvlJc w:val="left"/>
      <w:pPr>
        <w:tabs>
          <w:tab w:val="num" w:pos="4320"/>
        </w:tabs>
        <w:ind w:left="4320" w:hanging="360"/>
      </w:pPr>
      <w:rPr>
        <w:rFonts w:ascii="Arial" w:hAnsi="Arial" w:hint="default"/>
      </w:rPr>
    </w:lvl>
    <w:lvl w:ilvl="6" w:tplc="0C8A591E" w:tentative="1">
      <w:start w:val="1"/>
      <w:numFmt w:val="bullet"/>
      <w:lvlText w:val="–"/>
      <w:lvlJc w:val="left"/>
      <w:pPr>
        <w:tabs>
          <w:tab w:val="num" w:pos="5040"/>
        </w:tabs>
        <w:ind w:left="5040" w:hanging="360"/>
      </w:pPr>
      <w:rPr>
        <w:rFonts w:ascii="Arial" w:hAnsi="Arial" w:hint="default"/>
      </w:rPr>
    </w:lvl>
    <w:lvl w:ilvl="7" w:tplc="3394FE9C" w:tentative="1">
      <w:start w:val="1"/>
      <w:numFmt w:val="bullet"/>
      <w:lvlText w:val="–"/>
      <w:lvlJc w:val="left"/>
      <w:pPr>
        <w:tabs>
          <w:tab w:val="num" w:pos="5760"/>
        </w:tabs>
        <w:ind w:left="5760" w:hanging="360"/>
      </w:pPr>
      <w:rPr>
        <w:rFonts w:ascii="Arial" w:hAnsi="Arial" w:hint="default"/>
      </w:rPr>
    </w:lvl>
    <w:lvl w:ilvl="8" w:tplc="49D4DBB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A45C24"/>
    <w:multiLevelType w:val="hybridMultilevel"/>
    <w:tmpl w:val="B49A1B0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E425859"/>
    <w:multiLevelType w:val="hybridMultilevel"/>
    <w:tmpl w:val="5AE21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831"/>
    <w:multiLevelType w:val="multilevel"/>
    <w:tmpl w:val="73365B7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09A373B"/>
    <w:multiLevelType w:val="hybridMultilevel"/>
    <w:tmpl w:val="1F2C1A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11811AA"/>
    <w:multiLevelType w:val="hybridMultilevel"/>
    <w:tmpl w:val="BE4AC8AE"/>
    <w:lvl w:ilvl="0" w:tplc="1474E514">
      <w:start w:val="1"/>
      <w:numFmt w:val="lowerRoman"/>
      <w:lvlText w:val="(%1)"/>
      <w:lvlJc w:val="left"/>
      <w:pPr>
        <w:tabs>
          <w:tab w:val="num" w:pos="1571"/>
        </w:tabs>
        <w:ind w:left="1571" w:hanging="720"/>
      </w:pPr>
      <w:rPr>
        <w:rFonts w:hint="default"/>
      </w:rPr>
    </w:lvl>
    <w:lvl w:ilvl="1" w:tplc="08090019" w:tentative="1">
      <w:start w:val="1"/>
      <w:numFmt w:val="lowerLetter"/>
      <w:lvlText w:val="%2."/>
      <w:lvlJc w:val="left"/>
      <w:pPr>
        <w:tabs>
          <w:tab w:val="num" w:pos="1931"/>
        </w:tabs>
        <w:ind w:left="1931" w:hanging="360"/>
      </w:pPr>
    </w:lvl>
    <w:lvl w:ilvl="2" w:tplc="0809001B" w:tentative="1">
      <w:start w:val="1"/>
      <w:numFmt w:val="lowerRoman"/>
      <w:lvlText w:val="%3."/>
      <w:lvlJc w:val="right"/>
      <w:pPr>
        <w:tabs>
          <w:tab w:val="num" w:pos="2651"/>
        </w:tabs>
        <w:ind w:left="2651" w:hanging="180"/>
      </w:pPr>
    </w:lvl>
    <w:lvl w:ilvl="3" w:tplc="0809000F" w:tentative="1">
      <w:start w:val="1"/>
      <w:numFmt w:val="decimal"/>
      <w:lvlText w:val="%4."/>
      <w:lvlJc w:val="left"/>
      <w:pPr>
        <w:tabs>
          <w:tab w:val="num" w:pos="3371"/>
        </w:tabs>
        <w:ind w:left="3371" w:hanging="360"/>
      </w:pPr>
    </w:lvl>
    <w:lvl w:ilvl="4" w:tplc="08090019" w:tentative="1">
      <w:start w:val="1"/>
      <w:numFmt w:val="lowerLetter"/>
      <w:lvlText w:val="%5."/>
      <w:lvlJc w:val="left"/>
      <w:pPr>
        <w:tabs>
          <w:tab w:val="num" w:pos="4091"/>
        </w:tabs>
        <w:ind w:left="4091" w:hanging="360"/>
      </w:pPr>
    </w:lvl>
    <w:lvl w:ilvl="5" w:tplc="0809001B" w:tentative="1">
      <w:start w:val="1"/>
      <w:numFmt w:val="lowerRoman"/>
      <w:lvlText w:val="%6."/>
      <w:lvlJc w:val="right"/>
      <w:pPr>
        <w:tabs>
          <w:tab w:val="num" w:pos="4811"/>
        </w:tabs>
        <w:ind w:left="4811" w:hanging="180"/>
      </w:pPr>
    </w:lvl>
    <w:lvl w:ilvl="6" w:tplc="0809000F" w:tentative="1">
      <w:start w:val="1"/>
      <w:numFmt w:val="decimal"/>
      <w:lvlText w:val="%7."/>
      <w:lvlJc w:val="left"/>
      <w:pPr>
        <w:tabs>
          <w:tab w:val="num" w:pos="5531"/>
        </w:tabs>
        <w:ind w:left="5531" w:hanging="360"/>
      </w:pPr>
    </w:lvl>
    <w:lvl w:ilvl="7" w:tplc="08090019" w:tentative="1">
      <w:start w:val="1"/>
      <w:numFmt w:val="lowerLetter"/>
      <w:lvlText w:val="%8."/>
      <w:lvlJc w:val="left"/>
      <w:pPr>
        <w:tabs>
          <w:tab w:val="num" w:pos="6251"/>
        </w:tabs>
        <w:ind w:left="6251" w:hanging="360"/>
      </w:pPr>
    </w:lvl>
    <w:lvl w:ilvl="8" w:tplc="0809001B" w:tentative="1">
      <w:start w:val="1"/>
      <w:numFmt w:val="lowerRoman"/>
      <w:lvlText w:val="%9."/>
      <w:lvlJc w:val="right"/>
      <w:pPr>
        <w:tabs>
          <w:tab w:val="num" w:pos="6971"/>
        </w:tabs>
        <w:ind w:left="6971" w:hanging="180"/>
      </w:pPr>
    </w:lvl>
  </w:abstractNum>
  <w:abstractNum w:abstractNumId="22" w15:restartNumberingAfterBreak="0">
    <w:nsid w:val="31EA0DE8"/>
    <w:multiLevelType w:val="hybridMultilevel"/>
    <w:tmpl w:val="5DE6C0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633F27"/>
    <w:multiLevelType w:val="hybridMultilevel"/>
    <w:tmpl w:val="D6E47CE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2B17D2E"/>
    <w:multiLevelType w:val="hybridMultilevel"/>
    <w:tmpl w:val="3A0C4B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550DA8"/>
    <w:multiLevelType w:val="hybridMultilevel"/>
    <w:tmpl w:val="19A8A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4932D1E"/>
    <w:multiLevelType w:val="hybridMultilevel"/>
    <w:tmpl w:val="30FA4E94"/>
    <w:lvl w:ilvl="0" w:tplc="DAE8B7E0">
      <w:start w:val="1"/>
      <w:numFmt w:val="bullet"/>
      <w:lvlText w:val="•"/>
      <w:lvlJc w:val="left"/>
      <w:pPr>
        <w:tabs>
          <w:tab w:val="num" w:pos="720"/>
        </w:tabs>
        <w:ind w:left="720" w:hanging="360"/>
      </w:pPr>
      <w:rPr>
        <w:rFonts w:ascii="Arial" w:hAnsi="Arial" w:hint="default"/>
      </w:rPr>
    </w:lvl>
    <w:lvl w:ilvl="1" w:tplc="7B4C8718" w:tentative="1">
      <w:start w:val="1"/>
      <w:numFmt w:val="bullet"/>
      <w:lvlText w:val="•"/>
      <w:lvlJc w:val="left"/>
      <w:pPr>
        <w:tabs>
          <w:tab w:val="num" w:pos="1440"/>
        </w:tabs>
        <w:ind w:left="1440" w:hanging="360"/>
      </w:pPr>
      <w:rPr>
        <w:rFonts w:ascii="Arial" w:hAnsi="Arial" w:hint="default"/>
      </w:rPr>
    </w:lvl>
    <w:lvl w:ilvl="2" w:tplc="3D34847A" w:tentative="1">
      <w:start w:val="1"/>
      <w:numFmt w:val="bullet"/>
      <w:lvlText w:val="•"/>
      <w:lvlJc w:val="left"/>
      <w:pPr>
        <w:tabs>
          <w:tab w:val="num" w:pos="2160"/>
        </w:tabs>
        <w:ind w:left="2160" w:hanging="360"/>
      </w:pPr>
      <w:rPr>
        <w:rFonts w:ascii="Arial" w:hAnsi="Arial" w:hint="default"/>
      </w:rPr>
    </w:lvl>
    <w:lvl w:ilvl="3" w:tplc="CDC6DDD4" w:tentative="1">
      <w:start w:val="1"/>
      <w:numFmt w:val="bullet"/>
      <w:lvlText w:val="•"/>
      <w:lvlJc w:val="left"/>
      <w:pPr>
        <w:tabs>
          <w:tab w:val="num" w:pos="2880"/>
        </w:tabs>
        <w:ind w:left="2880" w:hanging="360"/>
      </w:pPr>
      <w:rPr>
        <w:rFonts w:ascii="Arial" w:hAnsi="Arial" w:hint="default"/>
      </w:rPr>
    </w:lvl>
    <w:lvl w:ilvl="4" w:tplc="AC3CFF10" w:tentative="1">
      <w:start w:val="1"/>
      <w:numFmt w:val="bullet"/>
      <w:lvlText w:val="•"/>
      <w:lvlJc w:val="left"/>
      <w:pPr>
        <w:tabs>
          <w:tab w:val="num" w:pos="3600"/>
        </w:tabs>
        <w:ind w:left="3600" w:hanging="360"/>
      </w:pPr>
      <w:rPr>
        <w:rFonts w:ascii="Arial" w:hAnsi="Arial" w:hint="default"/>
      </w:rPr>
    </w:lvl>
    <w:lvl w:ilvl="5" w:tplc="D7C67CA8" w:tentative="1">
      <w:start w:val="1"/>
      <w:numFmt w:val="bullet"/>
      <w:lvlText w:val="•"/>
      <w:lvlJc w:val="left"/>
      <w:pPr>
        <w:tabs>
          <w:tab w:val="num" w:pos="4320"/>
        </w:tabs>
        <w:ind w:left="4320" w:hanging="360"/>
      </w:pPr>
      <w:rPr>
        <w:rFonts w:ascii="Arial" w:hAnsi="Arial" w:hint="default"/>
      </w:rPr>
    </w:lvl>
    <w:lvl w:ilvl="6" w:tplc="98BE5F62" w:tentative="1">
      <w:start w:val="1"/>
      <w:numFmt w:val="bullet"/>
      <w:lvlText w:val="•"/>
      <w:lvlJc w:val="left"/>
      <w:pPr>
        <w:tabs>
          <w:tab w:val="num" w:pos="5040"/>
        </w:tabs>
        <w:ind w:left="5040" w:hanging="360"/>
      </w:pPr>
      <w:rPr>
        <w:rFonts w:ascii="Arial" w:hAnsi="Arial" w:hint="default"/>
      </w:rPr>
    </w:lvl>
    <w:lvl w:ilvl="7" w:tplc="8F8ED9A0" w:tentative="1">
      <w:start w:val="1"/>
      <w:numFmt w:val="bullet"/>
      <w:lvlText w:val="•"/>
      <w:lvlJc w:val="left"/>
      <w:pPr>
        <w:tabs>
          <w:tab w:val="num" w:pos="5760"/>
        </w:tabs>
        <w:ind w:left="5760" w:hanging="360"/>
      </w:pPr>
      <w:rPr>
        <w:rFonts w:ascii="Arial" w:hAnsi="Arial" w:hint="default"/>
      </w:rPr>
    </w:lvl>
    <w:lvl w:ilvl="8" w:tplc="488A64C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AC31258"/>
    <w:multiLevelType w:val="hybridMultilevel"/>
    <w:tmpl w:val="BE08D5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1E6DA8"/>
    <w:multiLevelType w:val="hybridMultilevel"/>
    <w:tmpl w:val="DAE665CC"/>
    <w:lvl w:ilvl="0" w:tplc="FD5EA74C">
      <w:start w:val="1"/>
      <w:numFmt w:val="lowerLetter"/>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1923D51"/>
    <w:multiLevelType w:val="hybridMultilevel"/>
    <w:tmpl w:val="0066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7E72D5"/>
    <w:multiLevelType w:val="hybridMultilevel"/>
    <w:tmpl w:val="DF4AA8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8D13AAE"/>
    <w:multiLevelType w:val="hybridMultilevel"/>
    <w:tmpl w:val="BC0CC89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A3757C3"/>
    <w:multiLevelType w:val="hybridMultilevel"/>
    <w:tmpl w:val="3D507A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F292C9D"/>
    <w:multiLevelType w:val="hybridMultilevel"/>
    <w:tmpl w:val="7C2AB7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1271D50"/>
    <w:multiLevelType w:val="hybridMultilevel"/>
    <w:tmpl w:val="6736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28365D"/>
    <w:multiLevelType w:val="hybridMultilevel"/>
    <w:tmpl w:val="7FE29C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1317901"/>
    <w:multiLevelType w:val="hybridMultilevel"/>
    <w:tmpl w:val="BCA8F2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1CA6CC4"/>
    <w:multiLevelType w:val="hybridMultilevel"/>
    <w:tmpl w:val="F21A5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124A46"/>
    <w:multiLevelType w:val="hybridMultilevel"/>
    <w:tmpl w:val="4030F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74B2D49"/>
    <w:multiLevelType w:val="hybridMultilevel"/>
    <w:tmpl w:val="88021FAE"/>
    <w:lvl w:ilvl="0" w:tplc="2AF6A1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A0C4269"/>
    <w:multiLevelType w:val="hybridMultilevel"/>
    <w:tmpl w:val="D48453A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A0D75EA"/>
    <w:multiLevelType w:val="hybridMultilevel"/>
    <w:tmpl w:val="5D702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943339"/>
    <w:multiLevelType w:val="hybridMultilevel"/>
    <w:tmpl w:val="9A5A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F86F84"/>
    <w:multiLevelType w:val="hybridMultilevel"/>
    <w:tmpl w:val="DC184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722CC4"/>
    <w:multiLevelType w:val="multilevel"/>
    <w:tmpl w:val="11B224A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2CB3F28"/>
    <w:multiLevelType w:val="hybridMultilevel"/>
    <w:tmpl w:val="38B4DD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4D633E2"/>
    <w:multiLevelType w:val="hybridMultilevel"/>
    <w:tmpl w:val="40905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C6788D"/>
    <w:multiLevelType w:val="hybridMultilevel"/>
    <w:tmpl w:val="8E5AC01E"/>
    <w:lvl w:ilvl="0" w:tplc="649E88C0">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68083585"/>
    <w:multiLevelType w:val="multilevel"/>
    <w:tmpl w:val="BBEE3DF2"/>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9E36891"/>
    <w:multiLevelType w:val="hybridMultilevel"/>
    <w:tmpl w:val="7D443344"/>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B1023F0"/>
    <w:multiLevelType w:val="hybridMultilevel"/>
    <w:tmpl w:val="B776D1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6CAB1AC4"/>
    <w:multiLevelType w:val="hybridMultilevel"/>
    <w:tmpl w:val="06984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CD87C3F"/>
    <w:multiLevelType w:val="hybridMultilevel"/>
    <w:tmpl w:val="DB468ED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3" w15:restartNumberingAfterBreak="0">
    <w:nsid w:val="6E2D0C68"/>
    <w:multiLevelType w:val="hybridMultilevel"/>
    <w:tmpl w:val="DD849B5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F3B7699"/>
    <w:multiLevelType w:val="multilevel"/>
    <w:tmpl w:val="28EC2E0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2672A7F"/>
    <w:multiLevelType w:val="hybridMultilevel"/>
    <w:tmpl w:val="FF1A0F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5FA3748"/>
    <w:multiLevelType w:val="hybridMultilevel"/>
    <w:tmpl w:val="F45E421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60451C2"/>
    <w:multiLevelType w:val="hybridMultilevel"/>
    <w:tmpl w:val="6816A270"/>
    <w:lvl w:ilvl="0" w:tplc="1088B3F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796E350D"/>
    <w:multiLevelType w:val="multilevel"/>
    <w:tmpl w:val="D0609C7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7"/>
  </w:num>
  <w:num w:numId="2">
    <w:abstractNumId w:val="5"/>
  </w:num>
  <w:num w:numId="3">
    <w:abstractNumId w:val="17"/>
  </w:num>
  <w:num w:numId="4">
    <w:abstractNumId w:val="22"/>
  </w:num>
  <w:num w:numId="5">
    <w:abstractNumId w:val="28"/>
  </w:num>
  <w:num w:numId="6">
    <w:abstractNumId w:val="21"/>
  </w:num>
  <w:num w:numId="7">
    <w:abstractNumId w:val="9"/>
  </w:num>
  <w:num w:numId="8">
    <w:abstractNumId w:val="10"/>
  </w:num>
  <w:num w:numId="9">
    <w:abstractNumId w:val="53"/>
  </w:num>
  <w:num w:numId="10">
    <w:abstractNumId w:val="40"/>
  </w:num>
  <w:num w:numId="11">
    <w:abstractNumId w:val="15"/>
  </w:num>
  <w:num w:numId="12">
    <w:abstractNumId w:val="19"/>
  </w:num>
  <w:num w:numId="13">
    <w:abstractNumId w:val="49"/>
  </w:num>
  <w:num w:numId="14">
    <w:abstractNumId w:val="24"/>
  </w:num>
  <w:num w:numId="15">
    <w:abstractNumId w:val="23"/>
  </w:num>
  <w:num w:numId="16">
    <w:abstractNumId w:val="31"/>
  </w:num>
  <w:num w:numId="17">
    <w:abstractNumId w:val="33"/>
  </w:num>
  <w:num w:numId="18">
    <w:abstractNumId w:val="35"/>
  </w:num>
  <w:num w:numId="19">
    <w:abstractNumId w:val="45"/>
  </w:num>
  <w:num w:numId="20">
    <w:abstractNumId w:val="13"/>
  </w:num>
  <w:num w:numId="21">
    <w:abstractNumId w:val="44"/>
  </w:num>
  <w:num w:numId="22">
    <w:abstractNumId w:val="0"/>
  </w:num>
  <w:num w:numId="23">
    <w:abstractNumId w:val="25"/>
  </w:num>
  <w:num w:numId="24">
    <w:abstractNumId w:val="1"/>
  </w:num>
  <w:num w:numId="25">
    <w:abstractNumId w:val="11"/>
  </w:num>
  <w:num w:numId="26">
    <w:abstractNumId w:val="29"/>
  </w:num>
  <w:num w:numId="27">
    <w:abstractNumId w:val="43"/>
  </w:num>
  <w:num w:numId="28">
    <w:abstractNumId w:val="37"/>
  </w:num>
  <w:num w:numId="29">
    <w:abstractNumId w:val="8"/>
  </w:num>
  <w:num w:numId="30">
    <w:abstractNumId w:val="18"/>
  </w:num>
  <w:num w:numId="31">
    <w:abstractNumId w:val="34"/>
  </w:num>
  <w:num w:numId="32">
    <w:abstractNumId w:val="20"/>
  </w:num>
  <w:num w:numId="33">
    <w:abstractNumId w:val="12"/>
  </w:num>
  <w:num w:numId="34">
    <w:abstractNumId w:val="32"/>
  </w:num>
  <w:num w:numId="35">
    <w:abstractNumId w:val="14"/>
  </w:num>
  <w:num w:numId="36">
    <w:abstractNumId w:val="42"/>
  </w:num>
  <w:num w:numId="37">
    <w:abstractNumId w:val="26"/>
  </w:num>
  <w:num w:numId="38">
    <w:abstractNumId w:val="2"/>
  </w:num>
  <w:num w:numId="39">
    <w:abstractNumId w:val="4"/>
  </w:num>
  <w:num w:numId="40">
    <w:abstractNumId w:val="16"/>
  </w:num>
  <w:num w:numId="41">
    <w:abstractNumId w:val="56"/>
  </w:num>
  <w:num w:numId="42">
    <w:abstractNumId w:val="38"/>
  </w:num>
  <w:num w:numId="43">
    <w:abstractNumId w:val="50"/>
  </w:num>
  <w:num w:numId="44">
    <w:abstractNumId w:val="36"/>
  </w:num>
  <w:num w:numId="45">
    <w:abstractNumId w:val="6"/>
  </w:num>
  <w:num w:numId="46">
    <w:abstractNumId w:val="30"/>
  </w:num>
  <w:num w:numId="47">
    <w:abstractNumId w:val="48"/>
  </w:num>
  <w:num w:numId="48">
    <w:abstractNumId w:val="51"/>
  </w:num>
  <w:num w:numId="49">
    <w:abstractNumId w:val="55"/>
  </w:num>
  <w:num w:numId="50">
    <w:abstractNumId w:val="58"/>
  </w:num>
  <w:num w:numId="51">
    <w:abstractNumId w:val="54"/>
  </w:num>
  <w:num w:numId="52">
    <w:abstractNumId w:val="47"/>
  </w:num>
  <w:num w:numId="53">
    <w:abstractNumId w:val="52"/>
  </w:num>
  <w:num w:numId="54">
    <w:abstractNumId w:val="41"/>
  </w:num>
  <w:num w:numId="55">
    <w:abstractNumId w:val="3"/>
  </w:num>
  <w:num w:numId="56">
    <w:abstractNumId w:val="46"/>
  </w:num>
  <w:num w:numId="57">
    <w:abstractNumId w:val="39"/>
  </w:num>
  <w:num w:numId="58">
    <w:abstractNumId w:val="7"/>
  </w:num>
  <w:num w:numId="59">
    <w:abstractNumId w:val="5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55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E8"/>
    <w:rsid w:val="00000044"/>
    <w:rsid w:val="00000217"/>
    <w:rsid w:val="00001883"/>
    <w:rsid w:val="00004353"/>
    <w:rsid w:val="00005DB1"/>
    <w:rsid w:val="000069CC"/>
    <w:rsid w:val="0000739F"/>
    <w:rsid w:val="0001078D"/>
    <w:rsid w:val="00010CEE"/>
    <w:rsid w:val="00011363"/>
    <w:rsid w:val="00011CD4"/>
    <w:rsid w:val="000129C9"/>
    <w:rsid w:val="000136B1"/>
    <w:rsid w:val="000142FE"/>
    <w:rsid w:val="00014D0A"/>
    <w:rsid w:val="00015918"/>
    <w:rsid w:val="00017824"/>
    <w:rsid w:val="00017EDB"/>
    <w:rsid w:val="00020FC9"/>
    <w:rsid w:val="00021525"/>
    <w:rsid w:val="00021D36"/>
    <w:rsid w:val="00022AA5"/>
    <w:rsid w:val="00025799"/>
    <w:rsid w:val="00025ADE"/>
    <w:rsid w:val="00032A9A"/>
    <w:rsid w:val="000336DB"/>
    <w:rsid w:val="000354BB"/>
    <w:rsid w:val="00037052"/>
    <w:rsid w:val="000412F1"/>
    <w:rsid w:val="00043694"/>
    <w:rsid w:val="00044D51"/>
    <w:rsid w:val="00051527"/>
    <w:rsid w:val="00053649"/>
    <w:rsid w:val="00053674"/>
    <w:rsid w:val="00053B90"/>
    <w:rsid w:val="00054514"/>
    <w:rsid w:val="000549E5"/>
    <w:rsid w:val="00054C69"/>
    <w:rsid w:val="00057226"/>
    <w:rsid w:val="000618FA"/>
    <w:rsid w:val="0006246B"/>
    <w:rsid w:val="00062D58"/>
    <w:rsid w:val="000647E3"/>
    <w:rsid w:val="0006507E"/>
    <w:rsid w:val="00070970"/>
    <w:rsid w:val="00070DBF"/>
    <w:rsid w:val="000729C5"/>
    <w:rsid w:val="0007716E"/>
    <w:rsid w:val="00077419"/>
    <w:rsid w:val="00081DEA"/>
    <w:rsid w:val="000820B0"/>
    <w:rsid w:val="00084A0C"/>
    <w:rsid w:val="00085B93"/>
    <w:rsid w:val="0008774E"/>
    <w:rsid w:val="000906CD"/>
    <w:rsid w:val="00090EBF"/>
    <w:rsid w:val="0009150C"/>
    <w:rsid w:val="00093518"/>
    <w:rsid w:val="00094797"/>
    <w:rsid w:val="000A3DDE"/>
    <w:rsid w:val="000A4551"/>
    <w:rsid w:val="000A4590"/>
    <w:rsid w:val="000B0155"/>
    <w:rsid w:val="000B0599"/>
    <w:rsid w:val="000B0A8F"/>
    <w:rsid w:val="000B167C"/>
    <w:rsid w:val="000B4C77"/>
    <w:rsid w:val="000B6C16"/>
    <w:rsid w:val="000B7FD5"/>
    <w:rsid w:val="000C0E64"/>
    <w:rsid w:val="000C1BD1"/>
    <w:rsid w:val="000C2F76"/>
    <w:rsid w:val="000C3652"/>
    <w:rsid w:val="000C3AE9"/>
    <w:rsid w:val="000C3C39"/>
    <w:rsid w:val="000C3F97"/>
    <w:rsid w:val="000C400B"/>
    <w:rsid w:val="000C6154"/>
    <w:rsid w:val="000C6E53"/>
    <w:rsid w:val="000C7458"/>
    <w:rsid w:val="000D05E3"/>
    <w:rsid w:val="000E3386"/>
    <w:rsid w:val="000E36C2"/>
    <w:rsid w:val="000E37B6"/>
    <w:rsid w:val="000F05DF"/>
    <w:rsid w:val="000F2462"/>
    <w:rsid w:val="000F38A2"/>
    <w:rsid w:val="000F4587"/>
    <w:rsid w:val="000F5626"/>
    <w:rsid w:val="000F67FD"/>
    <w:rsid w:val="000F6B44"/>
    <w:rsid w:val="00100EB6"/>
    <w:rsid w:val="0010196A"/>
    <w:rsid w:val="001023B9"/>
    <w:rsid w:val="00102F2F"/>
    <w:rsid w:val="00106DCF"/>
    <w:rsid w:val="00110088"/>
    <w:rsid w:val="001101FF"/>
    <w:rsid w:val="0011202B"/>
    <w:rsid w:val="001126DB"/>
    <w:rsid w:val="00114AC5"/>
    <w:rsid w:val="001155CE"/>
    <w:rsid w:val="00115B05"/>
    <w:rsid w:val="00120645"/>
    <w:rsid w:val="00120F3D"/>
    <w:rsid w:val="00121C0A"/>
    <w:rsid w:val="00122F98"/>
    <w:rsid w:val="0012430C"/>
    <w:rsid w:val="001271EF"/>
    <w:rsid w:val="001272E7"/>
    <w:rsid w:val="0012794C"/>
    <w:rsid w:val="001307A5"/>
    <w:rsid w:val="00133F36"/>
    <w:rsid w:val="00134D90"/>
    <w:rsid w:val="00140FCE"/>
    <w:rsid w:val="00141AB6"/>
    <w:rsid w:val="00143B76"/>
    <w:rsid w:val="001440D1"/>
    <w:rsid w:val="00144698"/>
    <w:rsid w:val="00147CE0"/>
    <w:rsid w:val="001531FE"/>
    <w:rsid w:val="001538C8"/>
    <w:rsid w:val="001560FD"/>
    <w:rsid w:val="00160579"/>
    <w:rsid w:val="0016096C"/>
    <w:rsid w:val="00160E1A"/>
    <w:rsid w:val="001633DB"/>
    <w:rsid w:val="00164309"/>
    <w:rsid w:val="00164E05"/>
    <w:rsid w:val="0016574B"/>
    <w:rsid w:val="00165D76"/>
    <w:rsid w:val="00170813"/>
    <w:rsid w:val="00173C3D"/>
    <w:rsid w:val="0017555E"/>
    <w:rsid w:val="00175C50"/>
    <w:rsid w:val="00175D10"/>
    <w:rsid w:val="0017654C"/>
    <w:rsid w:val="00176EE1"/>
    <w:rsid w:val="001837E0"/>
    <w:rsid w:val="00185440"/>
    <w:rsid w:val="00185771"/>
    <w:rsid w:val="0019055A"/>
    <w:rsid w:val="00190BBF"/>
    <w:rsid w:val="00191775"/>
    <w:rsid w:val="001923A7"/>
    <w:rsid w:val="0019300E"/>
    <w:rsid w:val="00194FB8"/>
    <w:rsid w:val="001963F1"/>
    <w:rsid w:val="00196C3F"/>
    <w:rsid w:val="00197265"/>
    <w:rsid w:val="0019794A"/>
    <w:rsid w:val="001A0E5D"/>
    <w:rsid w:val="001A1E16"/>
    <w:rsid w:val="001A31D4"/>
    <w:rsid w:val="001A53A5"/>
    <w:rsid w:val="001A5C18"/>
    <w:rsid w:val="001A6403"/>
    <w:rsid w:val="001B0C3B"/>
    <w:rsid w:val="001B1635"/>
    <w:rsid w:val="001B2AA5"/>
    <w:rsid w:val="001B42BD"/>
    <w:rsid w:val="001B46B8"/>
    <w:rsid w:val="001B4F63"/>
    <w:rsid w:val="001C0B45"/>
    <w:rsid w:val="001C35AB"/>
    <w:rsid w:val="001C43C5"/>
    <w:rsid w:val="001C52E7"/>
    <w:rsid w:val="001C6695"/>
    <w:rsid w:val="001C691D"/>
    <w:rsid w:val="001D07EA"/>
    <w:rsid w:val="001D13A7"/>
    <w:rsid w:val="001D535D"/>
    <w:rsid w:val="001D5853"/>
    <w:rsid w:val="001D60A9"/>
    <w:rsid w:val="001D6448"/>
    <w:rsid w:val="001E037F"/>
    <w:rsid w:val="001E1165"/>
    <w:rsid w:val="001E375A"/>
    <w:rsid w:val="001E6D6B"/>
    <w:rsid w:val="001E73BA"/>
    <w:rsid w:val="001F0403"/>
    <w:rsid w:val="001F21FC"/>
    <w:rsid w:val="001F4A06"/>
    <w:rsid w:val="00200045"/>
    <w:rsid w:val="002008B6"/>
    <w:rsid w:val="002017BD"/>
    <w:rsid w:val="00203263"/>
    <w:rsid w:val="00205852"/>
    <w:rsid w:val="002061C8"/>
    <w:rsid w:val="00206E68"/>
    <w:rsid w:val="00207427"/>
    <w:rsid w:val="0020772C"/>
    <w:rsid w:val="00212096"/>
    <w:rsid w:val="00214331"/>
    <w:rsid w:val="00215007"/>
    <w:rsid w:val="002167A4"/>
    <w:rsid w:val="00216BA7"/>
    <w:rsid w:val="00220018"/>
    <w:rsid w:val="00223FC8"/>
    <w:rsid w:val="00225003"/>
    <w:rsid w:val="0022528E"/>
    <w:rsid w:val="00227288"/>
    <w:rsid w:val="00230364"/>
    <w:rsid w:val="00233EC8"/>
    <w:rsid w:val="00234C1F"/>
    <w:rsid w:val="0023747F"/>
    <w:rsid w:val="00241162"/>
    <w:rsid w:val="00241F4B"/>
    <w:rsid w:val="00242CA7"/>
    <w:rsid w:val="00243580"/>
    <w:rsid w:val="00245338"/>
    <w:rsid w:val="0024533E"/>
    <w:rsid w:val="00245A2A"/>
    <w:rsid w:val="0024628D"/>
    <w:rsid w:val="00246B93"/>
    <w:rsid w:val="00247895"/>
    <w:rsid w:val="0025039A"/>
    <w:rsid w:val="0025396B"/>
    <w:rsid w:val="00253C67"/>
    <w:rsid w:val="00255F45"/>
    <w:rsid w:val="00256B13"/>
    <w:rsid w:val="00260934"/>
    <w:rsid w:val="002632BC"/>
    <w:rsid w:val="00266B3B"/>
    <w:rsid w:val="002675FA"/>
    <w:rsid w:val="00267BC2"/>
    <w:rsid w:val="00267C95"/>
    <w:rsid w:val="002735C8"/>
    <w:rsid w:val="00273C47"/>
    <w:rsid w:val="0027437C"/>
    <w:rsid w:val="00274700"/>
    <w:rsid w:val="00274D59"/>
    <w:rsid w:val="00275775"/>
    <w:rsid w:val="002764B8"/>
    <w:rsid w:val="00276E31"/>
    <w:rsid w:val="002810BA"/>
    <w:rsid w:val="002817D2"/>
    <w:rsid w:val="0028237B"/>
    <w:rsid w:val="002830EC"/>
    <w:rsid w:val="002842AB"/>
    <w:rsid w:val="0029093D"/>
    <w:rsid w:val="00290A1A"/>
    <w:rsid w:val="00291014"/>
    <w:rsid w:val="00292E4A"/>
    <w:rsid w:val="00293756"/>
    <w:rsid w:val="00293B99"/>
    <w:rsid w:val="00295776"/>
    <w:rsid w:val="00296934"/>
    <w:rsid w:val="00297A46"/>
    <w:rsid w:val="002A11E8"/>
    <w:rsid w:val="002A32DC"/>
    <w:rsid w:val="002A7E33"/>
    <w:rsid w:val="002B30FC"/>
    <w:rsid w:val="002B7B1C"/>
    <w:rsid w:val="002B7E4E"/>
    <w:rsid w:val="002C1198"/>
    <w:rsid w:val="002C3793"/>
    <w:rsid w:val="002C476E"/>
    <w:rsid w:val="002C610B"/>
    <w:rsid w:val="002C7B7D"/>
    <w:rsid w:val="002D6907"/>
    <w:rsid w:val="002D6910"/>
    <w:rsid w:val="002D7BEB"/>
    <w:rsid w:val="002D7DB2"/>
    <w:rsid w:val="002E0F77"/>
    <w:rsid w:val="002E36DD"/>
    <w:rsid w:val="002E4564"/>
    <w:rsid w:val="002E48E8"/>
    <w:rsid w:val="002E4E27"/>
    <w:rsid w:val="002E6CAA"/>
    <w:rsid w:val="002E7D08"/>
    <w:rsid w:val="002F0FB0"/>
    <w:rsid w:val="002F113A"/>
    <w:rsid w:val="002F2336"/>
    <w:rsid w:val="002F2D74"/>
    <w:rsid w:val="002F3898"/>
    <w:rsid w:val="002F4EE5"/>
    <w:rsid w:val="002F5C0D"/>
    <w:rsid w:val="002F6352"/>
    <w:rsid w:val="002F6E76"/>
    <w:rsid w:val="002F73F9"/>
    <w:rsid w:val="00300AFB"/>
    <w:rsid w:val="003042CE"/>
    <w:rsid w:val="003046A0"/>
    <w:rsid w:val="003052AD"/>
    <w:rsid w:val="00306586"/>
    <w:rsid w:val="00306862"/>
    <w:rsid w:val="00311644"/>
    <w:rsid w:val="00312244"/>
    <w:rsid w:val="00316E07"/>
    <w:rsid w:val="003202A1"/>
    <w:rsid w:val="00320500"/>
    <w:rsid w:val="00320BAD"/>
    <w:rsid w:val="00321ED9"/>
    <w:rsid w:val="003233D5"/>
    <w:rsid w:val="0032522F"/>
    <w:rsid w:val="0032528F"/>
    <w:rsid w:val="00326710"/>
    <w:rsid w:val="003271CC"/>
    <w:rsid w:val="003306C9"/>
    <w:rsid w:val="003309BE"/>
    <w:rsid w:val="00330AA9"/>
    <w:rsid w:val="00331871"/>
    <w:rsid w:val="003369F5"/>
    <w:rsid w:val="00337C75"/>
    <w:rsid w:val="00341064"/>
    <w:rsid w:val="00345A1E"/>
    <w:rsid w:val="00345C55"/>
    <w:rsid w:val="00352363"/>
    <w:rsid w:val="00355F7D"/>
    <w:rsid w:val="003563A1"/>
    <w:rsid w:val="00360637"/>
    <w:rsid w:val="003612C9"/>
    <w:rsid w:val="00362C68"/>
    <w:rsid w:val="003652CE"/>
    <w:rsid w:val="00365B30"/>
    <w:rsid w:val="00365D94"/>
    <w:rsid w:val="00366350"/>
    <w:rsid w:val="003668A0"/>
    <w:rsid w:val="003678B1"/>
    <w:rsid w:val="003725FD"/>
    <w:rsid w:val="00372FEA"/>
    <w:rsid w:val="003749F7"/>
    <w:rsid w:val="00375E87"/>
    <w:rsid w:val="00384CBE"/>
    <w:rsid w:val="00385C47"/>
    <w:rsid w:val="00390C8A"/>
    <w:rsid w:val="00391C7E"/>
    <w:rsid w:val="00394B5A"/>
    <w:rsid w:val="00394E10"/>
    <w:rsid w:val="003968A9"/>
    <w:rsid w:val="003A1017"/>
    <w:rsid w:val="003A1546"/>
    <w:rsid w:val="003A1AD7"/>
    <w:rsid w:val="003A35CC"/>
    <w:rsid w:val="003A3F5B"/>
    <w:rsid w:val="003A5D9E"/>
    <w:rsid w:val="003B0BE7"/>
    <w:rsid w:val="003B0E66"/>
    <w:rsid w:val="003B2985"/>
    <w:rsid w:val="003B2AFE"/>
    <w:rsid w:val="003B46E6"/>
    <w:rsid w:val="003B4869"/>
    <w:rsid w:val="003B4E0A"/>
    <w:rsid w:val="003B525E"/>
    <w:rsid w:val="003B60A0"/>
    <w:rsid w:val="003C003C"/>
    <w:rsid w:val="003C1725"/>
    <w:rsid w:val="003C39EA"/>
    <w:rsid w:val="003C69B7"/>
    <w:rsid w:val="003C7FBD"/>
    <w:rsid w:val="003D02A5"/>
    <w:rsid w:val="003D2C58"/>
    <w:rsid w:val="003D3D24"/>
    <w:rsid w:val="003D546F"/>
    <w:rsid w:val="003E50A6"/>
    <w:rsid w:val="003E5A65"/>
    <w:rsid w:val="003F0A37"/>
    <w:rsid w:val="003F162E"/>
    <w:rsid w:val="003F1D28"/>
    <w:rsid w:val="003F252B"/>
    <w:rsid w:val="003F2683"/>
    <w:rsid w:val="003F2B5F"/>
    <w:rsid w:val="003F4C71"/>
    <w:rsid w:val="003F662C"/>
    <w:rsid w:val="003F7928"/>
    <w:rsid w:val="004002DD"/>
    <w:rsid w:val="00401320"/>
    <w:rsid w:val="00401F43"/>
    <w:rsid w:val="00403EA0"/>
    <w:rsid w:val="00404B9F"/>
    <w:rsid w:val="0040730A"/>
    <w:rsid w:val="00410368"/>
    <w:rsid w:val="004106FA"/>
    <w:rsid w:val="00411385"/>
    <w:rsid w:val="00411787"/>
    <w:rsid w:val="00412105"/>
    <w:rsid w:val="00416666"/>
    <w:rsid w:val="004201C2"/>
    <w:rsid w:val="0042101C"/>
    <w:rsid w:val="00423D38"/>
    <w:rsid w:val="00425813"/>
    <w:rsid w:val="004269EC"/>
    <w:rsid w:val="0043095B"/>
    <w:rsid w:val="0043118F"/>
    <w:rsid w:val="0043162D"/>
    <w:rsid w:val="004325AB"/>
    <w:rsid w:val="00435B96"/>
    <w:rsid w:val="00435CD4"/>
    <w:rsid w:val="00440B36"/>
    <w:rsid w:val="00440F01"/>
    <w:rsid w:val="004417DD"/>
    <w:rsid w:val="00443629"/>
    <w:rsid w:val="0044370E"/>
    <w:rsid w:val="00443D7D"/>
    <w:rsid w:val="004445D0"/>
    <w:rsid w:val="00444AA3"/>
    <w:rsid w:val="00445AC7"/>
    <w:rsid w:val="00445E35"/>
    <w:rsid w:val="00446047"/>
    <w:rsid w:val="00455096"/>
    <w:rsid w:val="00456CF0"/>
    <w:rsid w:val="00460717"/>
    <w:rsid w:val="004610C7"/>
    <w:rsid w:val="00463B50"/>
    <w:rsid w:val="00464AC6"/>
    <w:rsid w:val="004658A7"/>
    <w:rsid w:val="00470061"/>
    <w:rsid w:val="004727DC"/>
    <w:rsid w:val="004745EE"/>
    <w:rsid w:val="00474E55"/>
    <w:rsid w:val="00477A6D"/>
    <w:rsid w:val="00482528"/>
    <w:rsid w:val="00483639"/>
    <w:rsid w:val="00484107"/>
    <w:rsid w:val="004849E8"/>
    <w:rsid w:val="00485A11"/>
    <w:rsid w:val="0048628F"/>
    <w:rsid w:val="00486E26"/>
    <w:rsid w:val="004875E7"/>
    <w:rsid w:val="004920D2"/>
    <w:rsid w:val="00492734"/>
    <w:rsid w:val="00495270"/>
    <w:rsid w:val="00495589"/>
    <w:rsid w:val="0049563B"/>
    <w:rsid w:val="0049689C"/>
    <w:rsid w:val="004A1831"/>
    <w:rsid w:val="004A26A6"/>
    <w:rsid w:val="004A6EBB"/>
    <w:rsid w:val="004B48F9"/>
    <w:rsid w:val="004B664F"/>
    <w:rsid w:val="004B7E61"/>
    <w:rsid w:val="004C3AE1"/>
    <w:rsid w:val="004C5F31"/>
    <w:rsid w:val="004C75D6"/>
    <w:rsid w:val="004D022E"/>
    <w:rsid w:val="004D0ECD"/>
    <w:rsid w:val="004D48EB"/>
    <w:rsid w:val="004D76AF"/>
    <w:rsid w:val="004D7C81"/>
    <w:rsid w:val="004D7F65"/>
    <w:rsid w:val="004E05E6"/>
    <w:rsid w:val="004E1076"/>
    <w:rsid w:val="004E3A16"/>
    <w:rsid w:val="004E54C2"/>
    <w:rsid w:val="004F0075"/>
    <w:rsid w:val="004F2B2B"/>
    <w:rsid w:val="004F519D"/>
    <w:rsid w:val="004F613F"/>
    <w:rsid w:val="005012CC"/>
    <w:rsid w:val="005019BA"/>
    <w:rsid w:val="00502549"/>
    <w:rsid w:val="00505668"/>
    <w:rsid w:val="00506028"/>
    <w:rsid w:val="0051093E"/>
    <w:rsid w:val="00510C4C"/>
    <w:rsid w:val="005120A5"/>
    <w:rsid w:val="00514264"/>
    <w:rsid w:val="00515CF2"/>
    <w:rsid w:val="00516A74"/>
    <w:rsid w:val="005202EE"/>
    <w:rsid w:val="00520709"/>
    <w:rsid w:val="0052248B"/>
    <w:rsid w:val="005267C1"/>
    <w:rsid w:val="00527BC3"/>
    <w:rsid w:val="00531CC4"/>
    <w:rsid w:val="005320D6"/>
    <w:rsid w:val="005365B9"/>
    <w:rsid w:val="00537DC3"/>
    <w:rsid w:val="0054302B"/>
    <w:rsid w:val="005446B3"/>
    <w:rsid w:val="00545280"/>
    <w:rsid w:val="005457C7"/>
    <w:rsid w:val="005466C9"/>
    <w:rsid w:val="005472C8"/>
    <w:rsid w:val="00547711"/>
    <w:rsid w:val="0055139F"/>
    <w:rsid w:val="005521E1"/>
    <w:rsid w:val="005603C4"/>
    <w:rsid w:val="00563448"/>
    <w:rsid w:val="00563ABA"/>
    <w:rsid w:val="00565CB8"/>
    <w:rsid w:val="00565E19"/>
    <w:rsid w:val="0057172A"/>
    <w:rsid w:val="00571780"/>
    <w:rsid w:val="00571867"/>
    <w:rsid w:val="00573975"/>
    <w:rsid w:val="00573A82"/>
    <w:rsid w:val="005740A3"/>
    <w:rsid w:val="0057765D"/>
    <w:rsid w:val="0058540F"/>
    <w:rsid w:val="00586F5B"/>
    <w:rsid w:val="00586FF4"/>
    <w:rsid w:val="00590C91"/>
    <w:rsid w:val="00591E87"/>
    <w:rsid w:val="00591F4A"/>
    <w:rsid w:val="0059298D"/>
    <w:rsid w:val="005937B2"/>
    <w:rsid w:val="005941A7"/>
    <w:rsid w:val="00595F58"/>
    <w:rsid w:val="00596E3D"/>
    <w:rsid w:val="005A0410"/>
    <w:rsid w:val="005A080D"/>
    <w:rsid w:val="005A4DB6"/>
    <w:rsid w:val="005A590A"/>
    <w:rsid w:val="005A6889"/>
    <w:rsid w:val="005B1DBE"/>
    <w:rsid w:val="005B2325"/>
    <w:rsid w:val="005B2B27"/>
    <w:rsid w:val="005B2BD4"/>
    <w:rsid w:val="005C2A48"/>
    <w:rsid w:val="005C7424"/>
    <w:rsid w:val="005D039A"/>
    <w:rsid w:val="005D15CA"/>
    <w:rsid w:val="005D234F"/>
    <w:rsid w:val="005D3884"/>
    <w:rsid w:val="005D44DC"/>
    <w:rsid w:val="005D5093"/>
    <w:rsid w:val="005D66D9"/>
    <w:rsid w:val="005D67DC"/>
    <w:rsid w:val="005E1B0F"/>
    <w:rsid w:val="005E259F"/>
    <w:rsid w:val="005E3856"/>
    <w:rsid w:val="005E4B95"/>
    <w:rsid w:val="005F1748"/>
    <w:rsid w:val="005F3CE0"/>
    <w:rsid w:val="005F4566"/>
    <w:rsid w:val="005F5EAB"/>
    <w:rsid w:val="005F6D12"/>
    <w:rsid w:val="005F7CC3"/>
    <w:rsid w:val="00600E38"/>
    <w:rsid w:val="00600EC5"/>
    <w:rsid w:val="00601566"/>
    <w:rsid w:val="00602B69"/>
    <w:rsid w:val="0060318A"/>
    <w:rsid w:val="006046B2"/>
    <w:rsid w:val="00604D65"/>
    <w:rsid w:val="0060529A"/>
    <w:rsid w:val="00605755"/>
    <w:rsid w:val="006109C6"/>
    <w:rsid w:val="00611F1A"/>
    <w:rsid w:val="00612C20"/>
    <w:rsid w:val="00612FAB"/>
    <w:rsid w:val="006141D5"/>
    <w:rsid w:val="00615576"/>
    <w:rsid w:val="00615588"/>
    <w:rsid w:val="00616364"/>
    <w:rsid w:val="00621F54"/>
    <w:rsid w:val="006234F6"/>
    <w:rsid w:val="00624943"/>
    <w:rsid w:val="006255F4"/>
    <w:rsid w:val="00625A0A"/>
    <w:rsid w:val="006265CE"/>
    <w:rsid w:val="00626882"/>
    <w:rsid w:val="0063207E"/>
    <w:rsid w:val="00632C18"/>
    <w:rsid w:val="0063307E"/>
    <w:rsid w:val="00633964"/>
    <w:rsid w:val="0063699B"/>
    <w:rsid w:val="00636A93"/>
    <w:rsid w:val="00636BD2"/>
    <w:rsid w:val="00637B44"/>
    <w:rsid w:val="00644427"/>
    <w:rsid w:val="00644AB7"/>
    <w:rsid w:val="00651919"/>
    <w:rsid w:val="006528AE"/>
    <w:rsid w:val="00654D9F"/>
    <w:rsid w:val="00656326"/>
    <w:rsid w:val="00656AD3"/>
    <w:rsid w:val="006604D8"/>
    <w:rsid w:val="00661B13"/>
    <w:rsid w:val="00663283"/>
    <w:rsid w:val="00663725"/>
    <w:rsid w:val="00664795"/>
    <w:rsid w:val="006647A6"/>
    <w:rsid w:val="00666E09"/>
    <w:rsid w:val="0066780B"/>
    <w:rsid w:val="00667887"/>
    <w:rsid w:val="006700E0"/>
    <w:rsid w:val="00670E1E"/>
    <w:rsid w:val="00671080"/>
    <w:rsid w:val="00671B52"/>
    <w:rsid w:val="006738B3"/>
    <w:rsid w:val="00673B5E"/>
    <w:rsid w:val="0067415A"/>
    <w:rsid w:val="00674C20"/>
    <w:rsid w:val="0067783A"/>
    <w:rsid w:val="00677C17"/>
    <w:rsid w:val="006807CB"/>
    <w:rsid w:val="00680AD3"/>
    <w:rsid w:val="00680B13"/>
    <w:rsid w:val="00680C7B"/>
    <w:rsid w:val="006825E7"/>
    <w:rsid w:val="00683DF5"/>
    <w:rsid w:val="0068788B"/>
    <w:rsid w:val="00690640"/>
    <w:rsid w:val="00691ABE"/>
    <w:rsid w:val="00691AD5"/>
    <w:rsid w:val="006922FB"/>
    <w:rsid w:val="00692568"/>
    <w:rsid w:val="00695772"/>
    <w:rsid w:val="00695E40"/>
    <w:rsid w:val="006A0BE2"/>
    <w:rsid w:val="006A23B9"/>
    <w:rsid w:val="006A368F"/>
    <w:rsid w:val="006A3D26"/>
    <w:rsid w:val="006A3E78"/>
    <w:rsid w:val="006A555B"/>
    <w:rsid w:val="006A5A19"/>
    <w:rsid w:val="006A6AE1"/>
    <w:rsid w:val="006B75D3"/>
    <w:rsid w:val="006B7AA6"/>
    <w:rsid w:val="006B7D51"/>
    <w:rsid w:val="006C1ACF"/>
    <w:rsid w:val="006C383C"/>
    <w:rsid w:val="006C3C78"/>
    <w:rsid w:val="006C4235"/>
    <w:rsid w:val="006D039F"/>
    <w:rsid w:val="006D13B7"/>
    <w:rsid w:val="006D1879"/>
    <w:rsid w:val="006D2295"/>
    <w:rsid w:val="006D269E"/>
    <w:rsid w:val="006D579B"/>
    <w:rsid w:val="006D6C89"/>
    <w:rsid w:val="006E13B1"/>
    <w:rsid w:val="006E3EB8"/>
    <w:rsid w:val="006E4A48"/>
    <w:rsid w:val="006E5CCA"/>
    <w:rsid w:val="006E7819"/>
    <w:rsid w:val="006F1F01"/>
    <w:rsid w:val="006F51C1"/>
    <w:rsid w:val="006F7ABC"/>
    <w:rsid w:val="00700E3C"/>
    <w:rsid w:val="00701A3C"/>
    <w:rsid w:val="00701CEA"/>
    <w:rsid w:val="007024C9"/>
    <w:rsid w:val="00702E30"/>
    <w:rsid w:val="007039E8"/>
    <w:rsid w:val="00703DF7"/>
    <w:rsid w:val="00703FA5"/>
    <w:rsid w:val="00705E5B"/>
    <w:rsid w:val="0070783A"/>
    <w:rsid w:val="00710D3E"/>
    <w:rsid w:val="007117A8"/>
    <w:rsid w:val="00711D42"/>
    <w:rsid w:val="00713124"/>
    <w:rsid w:val="00714670"/>
    <w:rsid w:val="00715BE0"/>
    <w:rsid w:val="00720D30"/>
    <w:rsid w:val="00720DFF"/>
    <w:rsid w:val="0072286E"/>
    <w:rsid w:val="00723D67"/>
    <w:rsid w:val="00724E90"/>
    <w:rsid w:val="007264F8"/>
    <w:rsid w:val="00726C53"/>
    <w:rsid w:val="00727187"/>
    <w:rsid w:val="007335E9"/>
    <w:rsid w:val="007348BE"/>
    <w:rsid w:val="00735602"/>
    <w:rsid w:val="00735853"/>
    <w:rsid w:val="00736377"/>
    <w:rsid w:val="0073669D"/>
    <w:rsid w:val="007371D0"/>
    <w:rsid w:val="007372F2"/>
    <w:rsid w:val="00740814"/>
    <w:rsid w:val="00741132"/>
    <w:rsid w:val="00741EB7"/>
    <w:rsid w:val="00742125"/>
    <w:rsid w:val="007432CC"/>
    <w:rsid w:val="00743B95"/>
    <w:rsid w:val="00744944"/>
    <w:rsid w:val="00746305"/>
    <w:rsid w:val="0074767C"/>
    <w:rsid w:val="007478D1"/>
    <w:rsid w:val="007502BC"/>
    <w:rsid w:val="007525DD"/>
    <w:rsid w:val="0075264A"/>
    <w:rsid w:val="007537D0"/>
    <w:rsid w:val="00754247"/>
    <w:rsid w:val="00755E62"/>
    <w:rsid w:val="00755F99"/>
    <w:rsid w:val="00760758"/>
    <w:rsid w:val="00761103"/>
    <w:rsid w:val="007615AE"/>
    <w:rsid w:val="00761AFF"/>
    <w:rsid w:val="00761E35"/>
    <w:rsid w:val="00766BE6"/>
    <w:rsid w:val="00767D4B"/>
    <w:rsid w:val="00770D91"/>
    <w:rsid w:val="0077109D"/>
    <w:rsid w:val="00771749"/>
    <w:rsid w:val="00771FAB"/>
    <w:rsid w:val="00772FE1"/>
    <w:rsid w:val="00773E47"/>
    <w:rsid w:val="00775F72"/>
    <w:rsid w:val="00776AD1"/>
    <w:rsid w:val="00785F68"/>
    <w:rsid w:val="00785FDB"/>
    <w:rsid w:val="00786E0E"/>
    <w:rsid w:val="00790ABA"/>
    <w:rsid w:val="00791634"/>
    <w:rsid w:val="00791A88"/>
    <w:rsid w:val="0079248E"/>
    <w:rsid w:val="007927D9"/>
    <w:rsid w:val="00793CB8"/>
    <w:rsid w:val="007943AC"/>
    <w:rsid w:val="0079458A"/>
    <w:rsid w:val="00795C65"/>
    <w:rsid w:val="00796212"/>
    <w:rsid w:val="007A305D"/>
    <w:rsid w:val="007A3C86"/>
    <w:rsid w:val="007A4039"/>
    <w:rsid w:val="007A57AC"/>
    <w:rsid w:val="007A7663"/>
    <w:rsid w:val="007B16CE"/>
    <w:rsid w:val="007B1BBC"/>
    <w:rsid w:val="007B2511"/>
    <w:rsid w:val="007B2C4B"/>
    <w:rsid w:val="007B438D"/>
    <w:rsid w:val="007B4677"/>
    <w:rsid w:val="007C00EB"/>
    <w:rsid w:val="007C3315"/>
    <w:rsid w:val="007C4E67"/>
    <w:rsid w:val="007C670F"/>
    <w:rsid w:val="007C72A1"/>
    <w:rsid w:val="007D5DA1"/>
    <w:rsid w:val="007D6A0B"/>
    <w:rsid w:val="007D7E30"/>
    <w:rsid w:val="007E01FD"/>
    <w:rsid w:val="007E06A8"/>
    <w:rsid w:val="007E16A0"/>
    <w:rsid w:val="007E2E4C"/>
    <w:rsid w:val="007E6D92"/>
    <w:rsid w:val="007F0348"/>
    <w:rsid w:val="007F1CE5"/>
    <w:rsid w:val="007F2124"/>
    <w:rsid w:val="007F2211"/>
    <w:rsid w:val="007F23FD"/>
    <w:rsid w:val="007F30B8"/>
    <w:rsid w:val="007F3166"/>
    <w:rsid w:val="007F33B7"/>
    <w:rsid w:val="007F422C"/>
    <w:rsid w:val="007F4644"/>
    <w:rsid w:val="007F486E"/>
    <w:rsid w:val="007F537B"/>
    <w:rsid w:val="007F7374"/>
    <w:rsid w:val="007F73CF"/>
    <w:rsid w:val="00802428"/>
    <w:rsid w:val="00802F60"/>
    <w:rsid w:val="00803FCF"/>
    <w:rsid w:val="0080479E"/>
    <w:rsid w:val="0080719D"/>
    <w:rsid w:val="00814649"/>
    <w:rsid w:val="008163D0"/>
    <w:rsid w:val="00817677"/>
    <w:rsid w:val="00822E56"/>
    <w:rsid w:val="008231E9"/>
    <w:rsid w:val="00824F3F"/>
    <w:rsid w:val="008262C9"/>
    <w:rsid w:val="0082792D"/>
    <w:rsid w:val="00830704"/>
    <w:rsid w:val="008316F1"/>
    <w:rsid w:val="00834457"/>
    <w:rsid w:val="0083536B"/>
    <w:rsid w:val="00837292"/>
    <w:rsid w:val="008378D6"/>
    <w:rsid w:val="00840317"/>
    <w:rsid w:val="00840E43"/>
    <w:rsid w:val="008420B4"/>
    <w:rsid w:val="00843FA1"/>
    <w:rsid w:val="00844640"/>
    <w:rsid w:val="00845C31"/>
    <w:rsid w:val="00846656"/>
    <w:rsid w:val="008472EA"/>
    <w:rsid w:val="0085048D"/>
    <w:rsid w:val="008518DD"/>
    <w:rsid w:val="00851EF6"/>
    <w:rsid w:val="00854D5C"/>
    <w:rsid w:val="008552AC"/>
    <w:rsid w:val="008554DD"/>
    <w:rsid w:val="008561A0"/>
    <w:rsid w:val="0085758A"/>
    <w:rsid w:val="00857738"/>
    <w:rsid w:val="00862E65"/>
    <w:rsid w:val="008633DD"/>
    <w:rsid w:val="00863C66"/>
    <w:rsid w:val="00864192"/>
    <w:rsid w:val="008656FB"/>
    <w:rsid w:val="008668ED"/>
    <w:rsid w:val="00870E02"/>
    <w:rsid w:val="00871190"/>
    <w:rsid w:val="0087199B"/>
    <w:rsid w:val="00871D73"/>
    <w:rsid w:val="00872311"/>
    <w:rsid w:val="00875170"/>
    <w:rsid w:val="008768F3"/>
    <w:rsid w:val="008810AB"/>
    <w:rsid w:val="00881A23"/>
    <w:rsid w:val="0088222A"/>
    <w:rsid w:val="008823FA"/>
    <w:rsid w:val="008830D9"/>
    <w:rsid w:val="008841CC"/>
    <w:rsid w:val="00885F82"/>
    <w:rsid w:val="0089260C"/>
    <w:rsid w:val="0089329F"/>
    <w:rsid w:val="0089355E"/>
    <w:rsid w:val="008946E8"/>
    <w:rsid w:val="0089625C"/>
    <w:rsid w:val="008A3EF6"/>
    <w:rsid w:val="008A4037"/>
    <w:rsid w:val="008A6FE9"/>
    <w:rsid w:val="008B4558"/>
    <w:rsid w:val="008B7224"/>
    <w:rsid w:val="008B7AFF"/>
    <w:rsid w:val="008C090A"/>
    <w:rsid w:val="008C1950"/>
    <w:rsid w:val="008C1DB0"/>
    <w:rsid w:val="008C1E27"/>
    <w:rsid w:val="008C2D51"/>
    <w:rsid w:val="008C4BAF"/>
    <w:rsid w:val="008C6DB1"/>
    <w:rsid w:val="008D0984"/>
    <w:rsid w:val="008D14FE"/>
    <w:rsid w:val="008D2F17"/>
    <w:rsid w:val="008D40C3"/>
    <w:rsid w:val="008D4B66"/>
    <w:rsid w:val="008D56DF"/>
    <w:rsid w:val="008D5889"/>
    <w:rsid w:val="008D7FDF"/>
    <w:rsid w:val="008E13B6"/>
    <w:rsid w:val="008E1647"/>
    <w:rsid w:val="008E289B"/>
    <w:rsid w:val="008E40F4"/>
    <w:rsid w:val="008E7BB5"/>
    <w:rsid w:val="008F001C"/>
    <w:rsid w:val="008F0DCD"/>
    <w:rsid w:val="008F1CE9"/>
    <w:rsid w:val="008F1D6C"/>
    <w:rsid w:val="008F25B7"/>
    <w:rsid w:val="008F3345"/>
    <w:rsid w:val="008F3C7C"/>
    <w:rsid w:val="008F61FF"/>
    <w:rsid w:val="0090058B"/>
    <w:rsid w:val="00903305"/>
    <w:rsid w:val="0090496B"/>
    <w:rsid w:val="009072F0"/>
    <w:rsid w:val="00911CD6"/>
    <w:rsid w:val="00911E55"/>
    <w:rsid w:val="00911FEA"/>
    <w:rsid w:val="00913311"/>
    <w:rsid w:val="00916611"/>
    <w:rsid w:val="00916C2E"/>
    <w:rsid w:val="00916E63"/>
    <w:rsid w:val="00917801"/>
    <w:rsid w:val="0092369C"/>
    <w:rsid w:val="00924437"/>
    <w:rsid w:val="009262B6"/>
    <w:rsid w:val="0092693A"/>
    <w:rsid w:val="00926AD2"/>
    <w:rsid w:val="00927751"/>
    <w:rsid w:val="00930D3F"/>
    <w:rsid w:val="00932D3C"/>
    <w:rsid w:val="00932E53"/>
    <w:rsid w:val="00933211"/>
    <w:rsid w:val="0093656D"/>
    <w:rsid w:val="00936E0F"/>
    <w:rsid w:val="00946AEB"/>
    <w:rsid w:val="00947660"/>
    <w:rsid w:val="009477FF"/>
    <w:rsid w:val="00947B29"/>
    <w:rsid w:val="00950280"/>
    <w:rsid w:val="00952335"/>
    <w:rsid w:val="0095243C"/>
    <w:rsid w:val="00953892"/>
    <w:rsid w:val="00953D61"/>
    <w:rsid w:val="00956FBA"/>
    <w:rsid w:val="00957214"/>
    <w:rsid w:val="0096359A"/>
    <w:rsid w:val="00964707"/>
    <w:rsid w:val="00964CAF"/>
    <w:rsid w:val="00967CFE"/>
    <w:rsid w:val="00967F12"/>
    <w:rsid w:val="00971237"/>
    <w:rsid w:val="00973957"/>
    <w:rsid w:val="00976865"/>
    <w:rsid w:val="0097702E"/>
    <w:rsid w:val="009772EC"/>
    <w:rsid w:val="00980AE0"/>
    <w:rsid w:val="00980C52"/>
    <w:rsid w:val="00981520"/>
    <w:rsid w:val="00984694"/>
    <w:rsid w:val="00984792"/>
    <w:rsid w:val="009856E8"/>
    <w:rsid w:val="0098759E"/>
    <w:rsid w:val="009905BB"/>
    <w:rsid w:val="00990FB6"/>
    <w:rsid w:val="00993341"/>
    <w:rsid w:val="00994E73"/>
    <w:rsid w:val="00995B70"/>
    <w:rsid w:val="00996170"/>
    <w:rsid w:val="009A09D1"/>
    <w:rsid w:val="009A27D4"/>
    <w:rsid w:val="009A59ED"/>
    <w:rsid w:val="009A5BC5"/>
    <w:rsid w:val="009A74E0"/>
    <w:rsid w:val="009B016E"/>
    <w:rsid w:val="009B4A63"/>
    <w:rsid w:val="009B7963"/>
    <w:rsid w:val="009C02E8"/>
    <w:rsid w:val="009C0360"/>
    <w:rsid w:val="009C202D"/>
    <w:rsid w:val="009D10A5"/>
    <w:rsid w:val="009D1817"/>
    <w:rsid w:val="009D66D3"/>
    <w:rsid w:val="009D7456"/>
    <w:rsid w:val="009D74A4"/>
    <w:rsid w:val="009D7D06"/>
    <w:rsid w:val="009E293D"/>
    <w:rsid w:val="009E3858"/>
    <w:rsid w:val="009E399F"/>
    <w:rsid w:val="009E3C78"/>
    <w:rsid w:val="009E4214"/>
    <w:rsid w:val="009E5DC1"/>
    <w:rsid w:val="009E6110"/>
    <w:rsid w:val="009E65CF"/>
    <w:rsid w:val="009E6BAC"/>
    <w:rsid w:val="009E77AA"/>
    <w:rsid w:val="009F234C"/>
    <w:rsid w:val="009F4BBD"/>
    <w:rsid w:val="009F505B"/>
    <w:rsid w:val="00A01B73"/>
    <w:rsid w:val="00A0206C"/>
    <w:rsid w:val="00A03CB1"/>
    <w:rsid w:val="00A047E7"/>
    <w:rsid w:val="00A05225"/>
    <w:rsid w:val="00A06C14"/>
    <w:rsid w:val="00A11443"/>
    <w:rsid w:val="00A125B0"/>
    <w:rsid w:val="00A13668"/>
    <w:rsid w:val="00A14DF2"/>
    <w:rsid w:val="00A16911"/>
    <w:rsid w:val="00A171BF"/>
    <w:rsid w:val="00A171FA"/>
    <w:rsid w:val="00A17AF5"/>
    <w:rsid w:val="00A17C03"/>
    <w:rsid w:val="00A20CBB"/>
    <w:rsid w:val="00A218AA"/>
    <w:rsid w:val="00A242CA"/>
    <w:rsid w:val="00A25090"/>
    <w:rsid w:val="00A250CE"/>
    <w:rsid w:val="00A2674A"/>
    <w:rsid w:val="00A268A1"/>
    <w:rsid w:val="00A27552"/>
    <w:rsid w:val="00A317BB"/>
    <w:rsid w:val="00A3482C"/>
    <w:rsid w:val="00A348D7"/>
    <w:rsid w:val="00A42C90"/>
    <w:rsid w:val="00A4302B"/>
    <w:rsid w:val="00A43150"/>
    <w:rsid w:val="00A47E3F"/>
    <w:rsid w:val="00A50428"/>
    <w:rsid w:val="00A51209"/>
    <w:rsid w:val="00A521AF"/>
    <w:rsid w:val="00A545B0"/>
    <w:rsid w:val="00A54D5E"/>
    <w:rsid w:val="00A54E18"/>
    <w:rsid w:val="00A60535"/>
    <w:rsid w:val="00A632C8"/>
    <w:rsid w:val="00A63EE9"/>
    <w:rsid w:val="00A65362"/>
    <w:rsid w:val="00A65C45"/>
    <w:rsid w:val="00A7081E"/>
    <w:rsid w:val="00A71F6D"/>
    <w:rsid w:val="00A7275F"/>
    <w:rsid w:val="00A73794"/>
    <w:rsid w:val="00A748A1"/>
    <w:rsid w:val="00A763A8"/>
    <w:rsid w:val="00A8069B"/>
    <w:rsid w:val="00A80D03"/>
    <w:rsid w:val="00A8165E"/>
    <w:rsid w:val="00A83697"/>
    <w:rsid w:val="00A867DD"/>
    <w:rsid w:val="00A91AD7"/>
    <w:rsid w:val="00A91FB5"/>
    <w:rsid w:val="00A93319"/>
    <w:rsid w:val="00A96ABE"/>
    <w:rsid w:val="00AA09B7"/>
    <w:rsid w:val="00AA28C4"/>
    <w:rsid w:val="00AA5202"/>
    <w:rsid w:val="00AA7805"/>
    <w:rsid w:val="00AB26F0"/>
    <w:rsid w:val="00AB35A0"/>
    <w:rsid w:val="00AB42B8"/>
    <w:rsid w:val="00AB54E0"/>
    <w:rsid w:val="00AB5B59"/>
    <w:rsid w:val="00AB5E57"/>
    <w:rsid w:val="00AB7C45"/>
    <w:rsid w:val="00AC001F"/>
    <w:rsid w:val="00AC0ED5"/>
    <w:rsid w:val="00AC15BB"/>
    <w:rsid w:val="00AC2262"/>
    <w:rsid w:val="00AC288F"/>
    <w:rsid w:val="00AC3A9B"/>
    <w:rsid w:val="00AC45BD"/>
    <w:rsid w:val="00AC51F3"/>
    <w:rsid w:val="00AC640D"/>
    <w:rsid w:val="00AD15BC"/>
    <w:rsid w:val="00AD15D9"/>
    <w:rsid w:val="00AD282E"/>
    <w:rsid w:val="00AE0F14"/>
    <w:rsid w:val="00AE2584"/>
    <w:rsid w:val="00AE323F"/>
    <w:rsid w:val="00AE466C"/>
    <w:rsid w:val="00AE6378"/>
    <w:rsid w:val="00AE7622"/>
    <w:rsid w:val="00AF0AED"/>
    <w:rsid w:val="00AF259A"/>
    <w:rsid w:val="00AF28C9"/>
    <w:rsid w:val="00AF49BF"/>
    <w:rsid w:val="00B01130"/>
    <w:rsid w:val="00B016EC"/>
    <w:rsid w:val="00B01D70"/>
    <w:rsid w:val="00B0502A"/>
    <w:rsid w:val="00B050CE"/>
    <w:rsid w:val="00B05347"/>
    <w:rsid w:val="00B05847"/>
    <w:rsid w:val="00B069FC"/>
    <w:rsid w:val="00B160EE"/>
    <w:rsid w:val="00B161E5"/>
    <w:rsid w:val="00B179E3"/>
    <w:rsid w:val="00B20FC1"/>
    <w:rsid w:val="00B23F47"/>
    <w:rsid w:val="00B24036"/>
    <w:rsid w:val="00B246EA"/>
    <w:rsid w:val="00B266E0"/>
    <w:rsid w:val="00B3179C"/>
    <w:rsid w:val="00B317B9"/>
    <w:rsid w:val="00B3273A"/>
    <w:rsid w:val="00B33DD2"/>
    <w:rsid w:val="00B35816"/>
    <w:rsid w:val="00B41A6A"/>
    <w:rsid w:val="00B4356E"/>
    <w:rsid w:val="00B436C8"/>
    <w:rsid w:val="00B43AB8"/>
    <w:rsid w:val="00B44990"/>
    <w:rsid w:val="00B46296"/>
    <w:rsid w:val="00B465FF"/>
    <w:rsid w:val="00B46660"/>
    <w:rsid w:val="00B5053F"/>
    <w:rsid w:val="00B509D9"/>
    <w:rsid w:val="00B548E0"/>
    <w:rsid w:val="00B54CCD"/>
    <w:rsid w:val="00B55764"/>
    <w:rsid w:val="00B5743B"/>
    <w:rsid w:val="00B6045E"/>
    <w:rsid w:val="00B64457"/>
    <w:rsid w:val="00B64F09"/>
    <w:rsid w:val="00B65401"/>
    <w:rsid w:val="00B65969"/>
    <w:rsid w:val="00B65C59"/>
    <w:rsid w:val="00B6664D"/>
    <w:rsid w:val="00B67755"/>
    <w:rsid w:val="00B70D4F"/>
    <w:rsid w:val="00B70E7C"/>
    <w:rsid w:val="00B71CA0"/>
    <w:rsid w:val="00B72754"/>
    <w:rsid w:val="00B75CD3"/>
    <w:rsid w:val="00B763C5"/>
    <w:rsid w:val="00B76770"/>
    <w:rsid w:val="00B76F23"/>
    <w:rsid w:val="00B77CF0"/>
    <w:rsid w:val="00B802C7"/>
    <w:rsid w:val="00B804B2"/>
    <w:rsid w:val="00B815BA"/>
    <w:rsid w:val="00B81AF9"/>
    <w:rsid w:val="00B82E99"/>
    <w:rsid w:val="00B835B8"/>
    <w:rsid w:val="00B8524A"/>
    <w:rsid w:val="00B85B6C"/>
    <w:rsid w:val="00B867A4"/>
    <w:rsid w:val="00B9152B"/>
    <w:rsid w:val="00B920DF"/>
    <w:rsid w:val="00B929DF"/>
    <w:rsid w:val="00B948C3"/>
    <w:rsid w:val="00B972B6"/>
    <w:rsid w:val="00BA042C"/>
    <w:rsid w:val="00BA04E2"/>
    <w:rsid w:val="00BA06F8"/>
    <w:rsid w:val="00BA1927"/>
    <w:rsid w:val="00BA1D3C"/>
    <w:rsid w:val="00BA3378"/>
    <w:rsid w:val="00BA4395"/>
    <w:rsid w:val="00BA484C"/>
    <w:rsid w:val="00BA4A9D"/>
    <w:rsid w:val="00BA6539"/>
    <w:rsid w:val="00BA6934"/>
    <w:rsid w:val="00BA70A9"/>
    <w:rsid w:val="00BA7257"/>
    <w:rsid w:val="00BA7B40"/>
    <w:rsid w:val="00BB2127"/>
    <w:rsid w:val="00BB22BA"/>
    <w:rsid w:val="00BB2AE3"/>
    <w:rsid w:val="00BB3EFC"/>
    <w:rsid w:val="00BB3F6B"/>
    <w:rsid w:val="00BB46D9"/>
    <w:rsid w:val="00BB5251"/>
    <w:rsid w:val="00BB5F4C"/>
    <w:rsid w:val="00BB7A72"/>
    <w:rsid w:val="00BB7B1E"/>
    <w:rsid w:val="00BC1171"/>
    <w:rsid w:val="00BC160C"/>
    <w:rsid w:val="00BC30A5"/>
    <w:rsid w:val="00BC3AED"/>
    <w:rsid w:val="00BC4812"/>
    <w:rsid w:val="00BC5580"/>
    <w:rsid w:val="00BC582C"/>
    <w:rsid w:val="00BC7450"/>
    <w:rsid w:val="00BC785D"/>
    <w:rsid w:val="00BD119F"/>
    <w:rsid w:val="00BD15BF"/>
    <w:rsid w:val="00BD56E7"/>
    <w:rsid w:val="00BD62BA"/>
    <w:rsid w:val="00BD7691"/>
    <w:rsid w:val="00BE0C16"/>
    <w:rsid w:val="00BE0F95"/>
    <w:rsid w:val="00BE133E"/>
    <w:rsid w:val="00BE13CA"/>
    <w:rsid w:val="00BE1A88"/>
    <w:rsid w:val="00BE1C19"/>
    <w:rsid w:val="00BE210E"/>
    <w:rsid w:val="00BE246C"/>
    <w:rsid w:val="00BE2DE4"/>
    <w:rsid w:val="00BE4196"/>
    <w:rsid w:val="00BE5814"/>
    <w:rsid w:val="00BF0912"/>
    <w:rsid w:val="00BF20EC"/>
    <w:rsid w:val="00BF3BC7"/>
    <w:rsid w:val="00BF76F4"/>
    <w:rsid w:val="00C02F4E"/>
    <w:rsid w:val="00C05EC1"/>
    <w:rsid w:val="00C073F3"/>
    <w:rsid w:val="00C10B7A"/>
    <w:rsid w:val="00C10DF9"/>
    <w:rsid w:val="00C12E00"/>
    <w:rsid w:val="00C21BA3"/>
    <w:rsid w:val="00C23B4E"/>
    <w:rsid w:val="00C23C77"/>
    <w:rsid w:val="00C24336"/>
    <w:rsid w:val="00C250E9"/>
    <w:rsid w:val="00C2512C"/>
    <w:rsid w:val="00C271C0"/>
    <w:rsid w:val="00C27D40"/>
    <w:rsid w:val="00C3152A"/>
    <w:rsid w:val="00C327CC"/>
    <w:rsid w:val="00C3702D"/>
    <w:rsid w:val="00C40C10"/>
    <w:rsid w:val="00C41CFC"/>
    <w:rsid w:val="00C42255"/>
    <w:rsid w:val="00C442F9"/>
    <w:rsid w:val="00C453DE"/>
    <w:rsid w:val="00C45F15"/>
    <w:rsid w:val="00C47A48"/>
    <w:rsid w:val="00C509EC"/>
    <w:rsid w:val="00C50B2D"/>
    <w:rsid w:val="00C5136C"/>
    <w:rsid w:val="00C53E00"/>
    <w:rsid w:val="00C553DF"/>
    <w:rsid w:val="00C56FAB"/>
    <w:rsid w:val="00C60E05"/>
    <w:rsid w:val="00C615B6"/>
    <w:rsid w:val="00C6292B"/>
    <w:rsid w:val="00C641BA"/>
    <w:rsid w:val="00C6430F"/>
    <w:rsid w:val="00C64A14"/>
    <w:rsid w:val="00C7171E"/>
    <w:rsid w:val="00C72EB9"/>
    <w:rsid w:val="00C751D7"/>
    <w:rsid w:val="00C755CF"/>
    <w:rsid w:val="00C76296"/>
    <w:rsid w:val="00C76EC1"/>
    <w:rsid w:val="00C77CD0"/>
    <w:rsid w:val="00C817A5"/>
    <w:rsid w:val="00C82960"/>
    <w:rsid w:val="00C857DF"/>
    <w:rsid w:val="00C872B0"/>
    <w:rsid w:val="00C9136D"/>
    <w:rsid w:val="00C91B0E"/>
    <w:rsid w:val="00C9273D"/>
    <w:rsid w:val="00C93606"/>
    <w:rsid w:val="00C97A56"/>
    <w:rsid w:val="00CA313B"/>
    <w:rsid w:val="00CA7A6F"/>
    <w:rsid w:val="00CA7D3C"/>
    <w:rsid w:val="00CB1FC6"/>
    <w:rsid w:val="00CB4506"/>
    <w:rsid w:val="00CB578F"/>
    <w:rsid w:val="00CC4887"/>
    <w:rsid w:val="00CC55FE"/>
    <w:rsid w:val="00CC5994"/>
    <w:rsid w:val="00CD01D0"/>
    <w:rsid w:val="00CD1699"/>
    <w:rsid w:val="00CD2376"/>
    <w:rsid w:val="00CD24FC"/>
    <w:rsid w:val="00CD308C"/>
    <w:rsid w:val="00CD33AC"/>
    <w:rsid w:val="00CD4680"/>
    <w:rsid w:val="00CD47F5"/>
    <w:rsid w:val="00CD4943"/>
    <w:rsid w:val="00CD5185"/>
    <w:rsid w:val="00CD6C45"/>
    <w:rsid w:val="00CE0AA7"/>
    <w:rsid w:val="00CE115B"/>
    <w:rsid w:val="00CE5427"/>
    <w:rsid w:val="00CE79B8"/>
    <w:rsid w:val="00CF1213"/>
    <w:rsid w:val="00CF264B"/>
    <w:rsid w:val="00CF5758"/>
    <w:rsid w:val="00CF5949"/>
    <w:rsid w:val="00CF625B"/>
    <w:rsid w:val="00CF6BCA"/>
    <w:rsid w:val="00CF7D45"/>
    <w:rsid w:val="00D02995"/>
    <w:rsid w:val="00D02A30"/>
    <w:rsid w:val="00D04261"/>
    <w:rsid w:val="00D05CD5"/>
    <w:rsid w:val="00D07702"/>
    <w:rsid w:val="00D1080D"/>
    <w:rsid w:val="00D10C28"/>
    <w:rsid w:val="00D15B58"/>
    <w:rsid w:val="00D215B3"/>
    <w:rsid w:val="00D21627"/>
    <w:rsid w:val="00D2624E"/>
    <w:rsid w:val="00D27CD7"/>
    <w:rsid w:val="00D31F53"/>
    <w:rsid w:val="00D33517"/>
    <w:rsid w:val="00D34E65"/>
    <w:rsid w:val="00D35407"/>
    <w:rsid w:val="00D355A4"/>
    <w:rsid w:val="00D368D9"/>
    <w:rsid w:val="00D37BD9"/>
    <w:rsid w:val="00D40162"/>
    <w:rsid w:val="00D41565"/>
    <w:rsid w:val="00D426FF"/>
    <w:rsid w:val="00D436C8"/>
    <w:rsid w:val="00D45ABB"/>
    <w:rsid w:val="00D5276C"/>
    <w:rsid w:val="00D52877"/>
    <w:rsid w:val="00D53468"/>
    <w:rsid w:val="00D53DE6"/>
    <w:rsid w:val="00D54AE7"/>
    <w:rsid w:val="00D56060"/>
    <w:rsid w:val="00D638AD"/>
    <w:rsid w:val="00D640C4"/>
    <w:rsid w:val="00D64628"/>
    <w:rsid w:val="00D6494D"/>
    <w:rsid w:val="00D64A63"/>
    <w:rsid w:val="00D64DB9"/>
    <w:rsid w:val="00D64F3C"/>
    <w:rsid w:val="00D67651"/>
    <w:rsid w:val="00D71751"/>
    <w:rsid w:val="00D734C3"/>
    <w:rsid w:val="00D76229"/>
    <w:rsid w:val="00D76796"/>
    <w:rsid w:val="00D76F55"/>
    <w:rsid w:val="00D814FB"/>
    <w:rsid w:val="00D8217F"/>
    <w:rsid w:val="00D832E4"/>
    <w:rsid w:val="00D83E9C"/>
    <w:rsid w:val="00D84C84"/>
    <w:rsid w:val="00D9470D"/>
    <w:rsid w:val="00D94BD9"/>
    <w:rsid w:val="00D96446"/>
    <w:rsid w:val="00D974B2"/>
    <w:rsid w:val="00D9767C"/>
    <w:rsid w:val="00DA0BF9"/>
    <w:rsid w:val="00DA0C86"/>
    <w:rsid w:val="00DA10B5"/>
    <w:rsid w:val="00DA2540"/>
    <w:rsid w:val="00DA2F85"/>
    <w:rsid w:val="00DA3F6C"/>
    <w:rsid w:val="00DA4427"/>
    <w:rsid w:val="00DA7386"/>
    <w:rsid w:val="00DB0EF1"/>
    <w:rsid w:val="00DB3C67"/>
    <w:rsid w:val="00DB491B"/>
    <w:rsid w:val="00DC0625"/>
    <w:rsid w:val="00DC0E55"/>
    <w:rsid w:val="00DC39A4"/>
    <w:rsid w:val="00DC44EB"/>
    <w:rsid w:val="00DC66B7"/>
    <w:rsid w:val="00DC7FBE"/>
    <w:rsid w:val="00DD01C8"/>
    <w:rsid w:val="00DD2038"/>
    <w:rsid w:val="00DD282D"/>
    <w:rsid w:val="00DD4151"/>
    <w:rsid w:val="00DD482E"/>
    <w:rsid w:val="00DD7455"/>
    <w:rsid w:val="00DD7478"/>
    <w:rsid w:val="00DE12F3"/>
    <w:rsid w:val="00DE2E1E"/>
    <w:rsid w:val="00DE445E"/>
    <w:rsid w:val="00DE498A"/>
    <w:rsid w:val="00DE5EF8"/>
    <w:rsid w:val="00DF0A19"/>
    <w:rsid w:val="00DF0B08"/>
    <w:rsid w:val="00DF11C3"/>
    <w:rsid w:val="00DF2C50"/>
    <w:rsid w:val="00DF2D3A"/>
    <w:rsid w:val="00DF4A16"/>
    <w:rsid w:val="00DF553C"/>
    <w:rsid w:val="00DF760A"/>
    <w:rsid w:val="00E03E06"/>
    <w:rsid w:val="00E04E4D"/>
    <w:rsid w:val="00E11B99"/>
    <w:rsid w:val="00E16025"/>
    <w:rsid w:val="00E17D45"/>
    <w:rsid w:val="00E20C17"/>
    <w:rsid w:val="00E21AA5"/>
    <w:rsid w:val="00E21CF3"/>
    <w:rsid w:val="00E21EFB"/>
    <w:rsid w:val="00E225D8"/>
    <w:rsid w:val="00E22B8A"/>
    <w:rsid w:val="00E25818"/>
    <w:rsid w:val="00E27C4C"/>
    <w:rsid w:val="00E30AA3"/>
    <w:rsid w:val="00E30C92"/>
    <w:rsid w:val="00E30F0B"/>
    <w:rsid w:val="00E31E14"/>
    <w:rsid w:val="00E32CB4"/>
    <w:rsid w:val="00E33107"/>
    <w:rsid w:val="00E3461A"/>
    <w:rsid w:val="00E36828"/>
    <w:rsid w:val="00E41345"/>
    <w:rsid w:val="00E42A68"/>
    <w:rsid w:val="00E432FA"/>
    <w:rsid w:val="00E440B0"/>
    <w:rsid w:val="00E45FC8"/>
    <w:rsid w:val="00E500A8"/>
    <w:rsid w:val="00E51D9D"/>
    <w:rsid w:val="00E52BAF"/>
    <w:rsid w:val="00E52D60"/>
    <w:rsid w:val="00E53785"/>
    <w:rsid w:val="00E54D4C"/>
    <w:rsid w:val="00E55E6B"/>
    <w:rsid w:val="00E5712C"/>
    <w:rsid w:val="00E60317"/>
    <w:rsid w:val="00E60C0D"/>
    <w:rsid w:val="00E613FA"/>
    <w:rsid w:val="00E617C8"/>
    <w:rsid w:val="00E617D1"/>
    <w:rsid w:val="00E62DEC"/>
    <w:rsid w:val="00E63E90"/>
    <w:rsid w:val="00E6483C"/>
    <w:rsid w:val="00E6486C"/>
    <w:rsid w:val="00E64BAB"/>
    <w:rsid w:val="00E658ED"/>
    <w:rsid w:val="00E66D98"/>
    <w:rsid w:val="00E66FA4"/>
    <w:rsid w:val="00E70F4D"/>
    <w:rsid w:val="00E71279"/>
    <w:rsid w:val="00E731C1"/>
    <w:rsid w:val="00E74349"/>
    <w:rsid w:val="00E74AB5"/>
    <w:rsid w:val="00E74DFE"/>
    <w:rsid w:val="00E80BAA"/>
    <w:rsid w:val="00E815DF"/>
    <w:rsid w:val="00E81A74"/>
    <w:rsid w:val="00E81C96"/>
    <w:rsid w:val="00E82A7B"/>
    <w:rsid w:val="00E853F0"/>
    <w:rsid w:val="00E853F7"/>
    <w:rsid w:val="00E85DDE"/>
    <w:rsid w:val="00E8797E"/>
    <w:rsid w:val="00E90E4C"/>
    <w:rsid w:val="00E9255E"/>
    <w:rsid w:val="00E93275"/>
    <w:rsid w:val="00E94589"/>
    <w:rsid w:val="00E955BD"/>
    <w:rsid w:val="00E96739"/>
    <w:rsid w:val="00E9729F"/>
    <w:rsid w:val="00EA0124"/>
    <w:rsid w:val="00EA1A87"/>
    <w:rsid w:val="00EA3A3C"/>
    <w:rsid w:val="00EA4007"/>
    <w:rsid w:val="00EA41D9"/>
    <w:rsid w:val="00EA532A"/>
    <w:rsid w:val="00EA58AC"/>
    <w:rsid w:val="00EA5A59"/>
    <w:rsid w:val="00EA5B7E"/>
    <w:rsid w:val="00EA72A4"/>
    <w:rsid w:val="00EA7989"/>
    <w:rsid w:val="00EA7B36"/>
    <w:rsid w:val="00EB0829"/>
    <w:rsid w:val="00EB3083"/>
    <w:rsid w:val="00EB3477"/>
    <w:rsid w:val="00EB431C"/>
    <w:rsid w:val="00EB4FA1"/>
    <w:rsid w:val="00EB51F6"/>
    <w:rsid w:val="00EB5F94"/>
    <w:rsid w:val="00EB669C"/>
    <w:rsid w:val="00EC044E"/>
    <w:rsid w:val="00EC04B9"/>
    <w:rsid w:val="00EC0A48"/>
    <w:rsid w:val="00EC1BAF"/>
    <w:rsid w:val="00EC3018"/>
    <w:rsid w:val="00EC3821"/>
    <w:rsid w:val="00EC4464"/>
    <w:rsid w:val="00EC5120"/>
    <w:rsid w:val="00EC6279"/>
    <w:rsid w:val="00ED3C1C"/>
    <w:rsid w:val="00ED58B2"/>
    <w:rsid w:val="00ED654E"/>
    <w:rsid w:val="00ED73CA"/>
    <w:rsid w:val="00EE0BB8"/>
    <w:rsid w:val="00EE127D"/>
    <w:rsid w:val="00EE3A3F"/>
    <w:rsid w:val="00EE3F6F"/>
    <w:rsid w:val="00EF15AB"/>
    <w:rsid w:val="00EF1D42"/>
    <w:rsid w:val="00EF20EE"/>
    <w:rsid w:val="00EF249D"/>
    <w:rsid w:val="00EF7C37"/>
    <w:rsid w:val="00F0172B"/>
    <w:rsid w:val="00F0266A"/>
    <w:rsid w:val="00F02F00"/>
    <w:rsid w:val="00F05D8A"/>
    <w:rsid w:val="00F106D7"/>
    <w:rsid w:val="00F12250"/>
    <w:rsid w:val="00F13241"/>
    <w:rsid w:val="00F142AA"/>
    <w:rsid w:val="00F144CE"/>
    <w:rsid w:val="00F1496C"/>
    <w:rsid w:val="00F150DB"/>
    <w:rsid w:val="00F15A8D"/>
    <w:rsid w:val="00F15BBD"/>
    <w:rsid w:val="00F23861"/>
    <w:rsid w:val="00F239E6"/>
    <w:rsid w:val="00F2699A"/>
    <w:rsid w:val="00F26DF8"/>
    <w:rsid w:val="00F311D4"/>
    <w:rsid w:val="00F326A6"/>
    <w:rsid w:val="00F33CFE"/>
    <w:rsid w:val="00F35971"/>
    <w:rsid w:val="00F35E4E"/>
    <w:rsid w:val="00F36FE0"/>
    <w:rsid w:val="00F377F3"/>
    <w:rsid w:val="00F37AB8"/>
    <w:rsid w:val="00F37F82"/>
    <w:rsid w:val="00F40153"/>
    <w:rsid w:val="00F40766"/>
    <w:rsid w:val="00F419E1"/>
    <w:rsid w:val="00F432BF"/>
    <w:rsid w:val="00F45746"/>
    <w:rsid w:val="00F45A2D"/>
    <w:rsid w:val="00F46046"/>
    <w:rsid w:val="00F4622F"/>
    <w:rsid w:val="00F500B3"/>
    <w:rsid w:val="00F50776"/>
    <w:rsid w:val="00F50D57"/>
    <w:rsid w:val="00F50D9C"/>
    <w:rsid w:val="00F5191E"/>
    <w:rsid w:val="00F51AE1"/>
    <w:rsid w:val="00F52996"/>
    <w:rsid w:val="00F52FC1"/>
    <w:rsid w:val="00F5453F"/>
    <w:rsid w:val="00F5510D"/>
    <w:rsid w:val="00F5651F"/>
    <w:rsid w:val="00F57D2F"/>
    <w:rsid w:val="00F62013"/>
    <w:rsid w:val="00F620D3"/>
    <w:rsid w:val="00F628D0"/>
    <w:rsid w:val="00F6692D"/>
    <w:rsid w:val="00F6754F"/>
    <w:rsid w:val="00F70706"/>
    <w:rsid w:val="00F70EE9"/>
    <w:rsid w:val="00F73F6A"/>
    <w:rsid w:val="00F76A01"/>
    <w:rsid w:val="00F774A2"/>
    <w:rsid w:val="00F81CB5"/>
    <w:rsid w:val="00F8495E"/>
    <w:rsid w:val="00F84C70"/>
    <w:rsid w:val="00F8569D"/>
    <w:rsid w:val="00F856ED"/>
    <w:rsid w:val="00F86DE8"/>
    <w:rsid w:val="00F870CC"/>
    <w:rsid w:val="00F87FF7"/>
    <w:rsid w:val="00F93894"/>
    <w:rsid w:val="00FA060B"/>
    <w:rsid w:val="00FA08A5"/>
    <w:rsid w:val="00FA0B91"/>
    <w:rsid w:val="00FA1885"/>
    <w:rsid w:val="00FA1FAA"/>
    <w:rsid w:val="00FA3784"/>
    <w:rsid w:val="00FA3B27"/>
    <w:rsid w:val="00FA49C8"/>
    <w:rsid w:val="00FA5454"/>
    <w:rsid w:val="00FA71F4"/>
    <w:rsid w:val="00FB064A"/>
    <w:rsid w:val="00FB1304"/>
    <w:rsid w:val="00FB33F3"/>
    <w:rsid w:val="00FB55D6"/>
    <w:rsid w:val="00FB5E0D"/>
    <w:rsid w:val="00FB64D1"/>
    <w:rsid w:val="00FC061F"/>
    <w:rsid w:val="00FC1219"/>
    <w:rsid w:val="00FC1B36"/>
    <w:rsid w:val="00FC233E"/>
    <w:rsid w:val="00FC265F"/>
    <w:rsid w:val="00FC2827"/>
    <w:rsid w:val="00FC592F"/>
    <w:rsid w:val="00FC6C3C"/>
    <w:rsid w:val="00FC70F1"/>
    <w:rsid w:val="00FC71B4"/>
    <w:rsid w:val="00FD0462"/>
    <w:rsid w:val="00FD10AF"/>
    <w:rsid w:val="00FD11A8"/>
    <w:rsid w:val="00FD1D48"/>
    <w:rsid w:val="00FD3010"/>
    <w:rsid w:val="00FD6481"/>
    <w:rsid w:val="00FE2283"/>
    <w:rsid w:val="00FE29EE"/>
    <w:rsid w:val="00FE4615"/>
    <w:rsid w:val="00FF0214"/>
    <w:rsid w:val="00FF0C13"/>
    <w:rsid w:val="00FF1195"/>
    <w:rsid w:val="00FF205F"/>
    <w:rsid w:val="00FF3A98"/>
    <w:rsid w:val="00FF5917"/>
    <w:rsid w:val="00FF6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4D9D2286"/>
  <w15:docId w15:val="{72A138B5-47A4-45DD-9459-8B84C78B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AB8"/>
    <w:pPr>
      <w:jc w:val="both"/>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794C"/>
    <w:pPr>
      <w:tabs>
        <w:tab w:val="center" w:pos="4153"/>
        <w:tab w:val="right" w:pos="8306"/>
      </w:tabs>
    </w:pPr>
  </w:style>
  <w:style w:type="paragraph" w:styleId="Footer">
    <w:name w:val="footer"/>
    <w:basedOn w:val="Normal"/>
    <w:rsid w:val="0012794C"/>
    <w:pPr>
      <w:tabs>
        <w:tab w:val="center" w:pos="4153"/>
        <w:tab w:val="right" w:pos="8306"/>
      </w:tabs>
    </w:pPr>
  </w:style>
  <w:style w:type="paragraph" w:customStyle="1" w:styleId="DefaultText">
    <w:name w:val="Default Text"/>
    <w:basedOn w:val="Normal"/>
    <w:rsid w:val="00BE210E"/>
    <w:rPr>
      <w:rFonts w:ascii="Times New Roman" w:hAnsi="Times New Roman"/>
      <w:noProof/>
      <w:szCs w:val="20"/>
    </w:rPr>
  </w:style>
  <w:style w:type="paragraph" w:customStyle="1" w:styleId="SectionHeading">
    <w:name w:val="Section Heading"/>
    <w:basedOn w:val="Normal"/>
    <w:rsid w:val="00BE210E"/>
    <w:pPr>
      <w:ind w:left="720"/>
    </w:pPr>
    <w:rPr>
      <w:noProof/>
      <w:szCs w:val="20"/>
    </w:rPr>
  </w:style>
  <w:style w:type="paragraph" w:customStyle="1" w:styleId="DEFAULTTEXT0">
    <w:name w:val="DEFAULT TEXT"/>
    <w:basedOn w:val="Normal"/>
    <w:rsid w:val="00BE210E"/>
    <w:pPr>
      <w:ind w:left="720"/>
    </w:pPr>
    <w:rPr>
      <w:noProof/>
      <w:szCs w:val="20"/>
    </w:rPr>
  </w:style>
  <w:style w:type="paragraph" w:customStyle="1" w:styleId="FirstLineIndent">
    <w:name w:val="First Line Indent"/>
    <w:basedOn w:val="Normal"/>
    <w:rsid w:val="00BE210E"/>
    <w:pPr>
      <w:ind w:firstLine="720"/>
    </w:pPr>
    <w:rPr>
      <w:rFonts w:ascii="Times New Roman" w:hAnsi="Times New Roman"/>
      <w:noProof/>
      <w:szCs w:val="20"/>
    </w:rPr>
  </w:style>
  <w:style w:type="character" w:styleId="Hyperlink">
    <w:name w:val="Hyperlink"/>
    <w:uiPriority w:val="99"/>
    <w:rsid w:val="0044370E"/>
    <w:rPr>
      <w:color w:val="0000FF"/>
      <w:u w:val="single"/>
    </w:rPr>
  </w:style>
  <w:style w:type="paragraph" w:styleId="BalloonText">
    <w:name w:val="Balloon Text"/>
    <w:basedOn w:val="Normal"/>
    <w:semiHidden/>
    <w:rsid w:val="003F7928"/>
    <w:rPr>
      <w:rFonts w:ascii="Tahoma" w:hAnsi="Tahoma" w:cs="Tahoma"/>
      <w:sz w:val="16"/>
      <w:szCs w:val="16"/>
    </w:rPr>
  </w:style>
  <w:style w:type="character" w:styleId="PageNumber">
    <w:name w:val="page number"/>
    <w:basedOn w:val="DefaultParagraphFont"/>
    <w:rsid w:val="004F519D"/>
  </w:style>
  <w:style w:type="character" w:styleId="CommentReference">
    <w:name w:val="annotation reference"/>
    <w:semiHidden/>
    <w:rsid w:val="007C670F"/>
    <w:rPr>
      <w:sz w:val="16"/>
      <w:szCs w:val="16"/>
    </w:rPr>
  </w:style>
  <w:style w:type="paragraph" w:styleId="CommentText">
    <w:name w:val="annotation text"/>
    <w:basedOn w:val="Normal"/>
    <w:semiHidden/>
    <w:rsid w:val="007C670F"/>
    <w:rPr>
      <w:sz w:val="20"/>
      <w:szCs w:val="20"/>
    </w:rPr>
  </w:style>
  <w:style w:type="paragraph" w:styleId="CommentSubject">
    <w:name w:val="annotation subject"/>
    <w:basedOn w:val="CommentText"/>
    <w:next w:val="CommentText"/>
    <w:semiHidden/>
    <w:rsid w:val="007C670F"/>
    <w:rPr>
      <w:b/>
      <w:bCs/>
    </w:rPr>
  </w:style>
  <w:style w:type="paragraph" w:styleId="ListParagraph">
    <w:name w:val="List Paragraph"/>
    <w:basedOn w:val="Normal"/>
    <w:uiPriority w:val="34"/>
    <w:qFormat/>
    <w:rsid w:val="001D60A9"/>
    <w:pPr>
      <w:spacing w:after="200" w:line="276" w:lineRule="auto"/>
      <w:ind w:left="720"/>
      <w:contextualSpacing/>
      <w:jc w:val="left"/>
    </w:pPr>
    <w:rPr>
      <w:rFonts w:ascii="Calibri" w:eastAsia="Calibri" w:hAnsi="Calibri"/>
      <w:lang w:eastAsia="en-US"/>
    </w:rPr>
  </w:style>
  <w:style w:type="paragraph" w:styleId="Revision">
    <w:name w:val="Revision"/>
    <w:hidden/>
    <w:uiPriority w:val="99"/>
    <w:semiHidden/>
    <w:rsid w:val="0012430C"/>
    <w:rPr>
      <w:rFonts w:ascii="Arial" w:hAnsi="Arial"/>
      <w:sz w:val="22"/>
      <w:szCs w:val="22"/>
    </w:rPr>
  </w:style>
  <w:style w:type="paragraph" w:styleId="NoSpacing">
    <w:name w:val="No Spacing"/>
    <w:uiPriority w:val="1"/>
    <w:qFormat/>
    <w:rsid w:val="00710D3E"/>
    <w:rPr>
      <w:rFonts w:ascii="Calibri" w:eastAsia="Calibri" w:hAnsi="Calibri"/>
      <w:sz w:val="22"/>
      <w:szCs w:val="22"/>
      <w:lang w:eastAsia="en-US"/>
    </w:rPr>
  </w:style>
  <w:style w:type="paragraph" w:customStyle="1" w:styleId="Default">
    <w:name w:val="Default"/>
    <w:rsid w:val="00FF205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282">
      <w:bodyDiv w:val="1"/>
      <w:marLeft w:val="0"/>
      <w:marRight w:val="0"/>
      <w:marTop w:val="0"/>
      <w:marBottom w:val="0"/>
      <w:divBdr>
        <w:top w:val="none" w:sz="0" w:space="0" w:color="auto"/>
        <w:left w:val="none" w:sz="0" w:space="0" w:color="auto"/>
        <w:bottom w:val="none" w:sz="0" w:space="0" w:color="auto"/>
        <w:right w:val="none" w:sz="0" w:space="0" w:color="auto"/>
      </w:divBdr>
    </w:div>
    <w:div w:id="50540171">
      <w:bodyDiv w:val="1"/>
      <w:marLeft w:val="0"/>
      <w:marRight w:val="0"/>
      <w:marTop w:val="0"/>
      <w:marBottom w:val="0"/>
      <w:divBdr>
        <w:top w:val="none" w:sz="0" w:space="0" w:color="auto"/>
        <w:left w:val="none" w:sz="0" w:space="0" w:color="auto"/>
        <w:bottom w:val="none" w:sz="0" w:space="0" w:color="auto"/>
        <w:right w:val="none" w:sz="0" w:space="0" w:color="auto"/>
      </w:divBdr>
    </w:div>
    <w:div w:id="93139179">
      <w:bodyDiv w:val="1"/>
      <w:marLeft w:val="0"/>
      <w:marRight w:val="0"/>
      <w:marTop w:val="0"/>
      <w:marBottom w:val="0"/>
      <w:divBdr>
        <w:top w:val="none" w:sz="0" w:space="0" w:color="auto"/>
        <w:left w:val="none" w:sz="0" w:space="0" w:color="auto"/>
        <w:bottom w:val="none" w:sz="0" w:space="0" w:color="auto"/>
        <w:right w:val="none" w:sz="0" w:space="0" w:color="auto"/>
      </w:divBdr>
    </w:div>
    <w:div w:id="101459932">
      <w:bodyDiv w:val="1"/>
      <w:marLeft w:val="0"/>
      <w:marRight w:val="0"/>
      <w:marTop w:val="0"/>
      <w:marBottom w:val="0"/>
      <w:divBdr>
        <w:top w:val="none" w:sz="0" w:space="0" w:color="auto"/>
        <w:left w:val="none" w:sz="0" w:space="0" w:color="auto"/>
        <w:bottom w:val="none" w:sz="0" w:space="0" w:color="auto"/>
        <w:right w:val="none" w:sz="0" w:space="0" w:color="auto"/>
      </w:divBdr>
    </w:div>
    <w:div w:id="133257070">
      <w:bodyDiv w:val="1"/>
      <w:marLeft w:val="0"/>
      <w:marRight w:val="0"/>
      <w:marTop w:val="0"/>
      <w:marBottom w:val="0"/>
      <w:divBdr>
        <w:top w:val="none" w:sz="0" w:space="0" w:color="auto"/>
        <w:left w:val="none" w:sz="0" w:space="0" w:color="auto"/>
        <w:bottom w:val="none" w:sz="0" w:space="0" w:color="auto"/>
        <w:right w:val="none" w:sz="0" w:space="0" w:color="auto"/>
      </w:divBdr>
    </w:div>
    <w:div w:id="135225251">
      <w:bodyDiv w:val="1"/>
      <w:marLeft w:val="0"/>
      <w:marRight w:val="0"/>
      <w:marTop w:val="0"/>
      <w:marBottom w:val="0"/>
      <w:divBdr>
        <w:top w:val="none" w:sz="0" w:space="0" w:color="auto"/>
        <w:left w:val="none" w:sz="0" w:space="0" w:color="auto"/>
        <w:bottom w:val="none" w:sz="0" w:space="0" w:color="auto"/>
        <w:right w:val="none" w:sz="0" w:space="0" w:color="auto"/>
      </w:divBdr>
    </w:div>
    <w:div w:id="148442101">
      <w:bodyDiv w:val="1"/>
      <w:marLeft w:val="0"/>
      <w:marRight w:val="0"/>
      <w:marTop w:val="0"/>
      <w:marBottom w:val="0"/>
      <w:divBdr>
        <w:top w:val="none" w:sz="0" w:space="0" w:color="auto"/>
        <w:left w:val="none" w:sz="0" w:space="0" w:color="auto"/>
        <w:bottom w:val="none" w:sz="0" w:space="0" w:color="auto"/>
        <w:right w:val="none" w:sz="0" w:space="0" w:color="auto"/>
      </w:divBdr>
    </w:div>
    <w:div w:id="177820080">
      <w:bodyDiv w:val="1"/>
      <w:marLeft w:val="0"/>
      <w:marRight w:val="0"/>
      <w:marTop w:val="0"/>
      <w:marBottom w:val="0"/>
      <w:divBdr>
        <w:top w:val="none" w:sz="0" w:space="0" w:color="auto"/>
        <w:left w:val="none" w:sz="0" w:space="0" w:color="auto"/>
        <w:bottom w:val="none" w:sz="0" w:space="0" w:color="auto"/>
        <w:right w:val="none" w:sz="0" w:space="0" w:color="auto"/>
      </w:divBdr>
    </w:div>
    <w:div w:id="186607832">
      <w:bodyDiv w:val="1"/>
      <w:marLeft w:val="0"/>
      <w:marRight w:val="0"/>
      <w:marTop w:val="0"/>
      <w:marBottom w:val="0"/>
      <w:divBdr>
        <w:top w:val="none" w:sz="0" w:space="0" w:color="auto"/>
        <w:left w:val="none" w:sz="0" w:space="0" w:color="auto"/>
        <w:bottom w:val="none" w:sz="0" w:space="0" w:color="auto"/>
        <w:right w:val="none" w:sz="0" w:space="0" w:color="auto"/>
      </w:divBdr>
    </w:div>
    <w:div w:id="190994395">
      <w:bodyDiv w:val="1"/>
      <w:marLeft w:val="0"/>
      <w:marRight w:val="0"/>
      <w:marTop w:val="0"/>
      <w:marBottom w:val="0"/>
      <w:divBdr>
        <w:top w:val="none" w:sz="0" w:space="0" w:color="auto"/>
        <w:left w:val="none" w:sz="0" w:space="0" w:color="auto"/>
        <w:bottom w:val="none" w:sz="0" w:space="0" w:color="auto"/>
        <w:right w:val="none" w:sz="0" w:space="0" w:color="auto"/>
      </w:divBdr>
    </w:div>
    <w:div w:id="254288748">
      <w:bodyDiv w:val="1"/>
      <w:marLeft w:val="0"/>
      <w:marRight w:val="0"/>
      <w:marTop w:val="0"/>
      <w:marBottom w:val="0"/>
      <w:divBdr>
        <w:top w:val="none" w:sz="0" w:space="0" w:color="auto"/>
        <w:left w:val="none" w:sz="0" w:space="0" w:color="auto"/>
        <w:bottom w:val="none" w:sz="0" w:space="0" w:color="auto"/>
        <w:right w:val="none" w:sz="0" w:space="0" w:color="auto"/>
      </w:divBdr>
    </w:div>
    <w:div w:id="257099041">
      <w:bodyDiv w:val="1"/>
      <w:marLeft w:val="0"/>
      <w:marRight w:val="0"/>
      <w:marTop w:val="0"/>
      <w:marBottom w:val="0"/>
      <w:divBdr>
        <w:top w:val="none" w:sz="0" w:space="0" w:color="auto"/>
        <w:left w:val="none" w:sz="0" w:space="0" w:color="auto"/>
        <w:bottom w:val="none" w:sz="0" w:space="0" w:color="auto"/>
        <w:right w:val="none" w:sz="0" w:space="0" w:color="auto"/>
      </w:divBdr>
    </w:div>
    <w:div w:id="272323851">
      <w:bodyDiv w:val="1"/>
      <w:marLeft w:val="0"/>
      <w:marRight w:val="0"/>
      <w:marTop w:val="0"/>
      <w:marBottom w:val="0"/>
      <w:divBdr>
        <w:top w:val="none" w:sz="0" w:space="0" w:color="auto"/>
        <w:left w:val="none" w:sz="0" w:space="0" w:color="auto"/>
        <w:bottom w:val="none" w:sz="0" w:space="0" w:color="auto"/>
        <w:right w:val="none" w:sz="0" w:space="0" w:color="auto"/>
      </w:divBdr>
    </w:div>
    <w:div w:id="289021771">
      <w:bodyDiv w:val="1"/>
      <w:marLeft w:val="0"/>
      <w:marRight w:val="0"/>
      <w:marTop w:val="0"/>
      <w:marBottom w:val="0"/>
      <w:divBdr>
        <w:top w:val="none" w:sz="0" w:space="0" w:color="auto"/>
        <w:left w:val="none" w:sz="0" w:space="0" w:color="auto"/>
        <w:bottom w:val="none" w:sz="0" w:space="0" w:color="auto"/>
        <w:right w:val="none" w:sz="0" w:space="0" w:color="auto"/>
      </w:divBdr>
    </w:div>
    <w:div w:id="293290815">
      <w:bodyDiv w:val="1"/>
      <w:marLeft w:val="0"/>
      <w:marRight w:val="0"/>
      <w:marTop w:val="0"/>
      <w:marBottom w:val="0"/>
      <w:divBdr>
        <w:top w:val="none" w:sz="0" w:space="0" w:color="auto"/>
        <w:left w:val="none" w:sz="0" w:space="0" w:color="auto"/>
        <w:bottom w:val="none" w:sz="0" w:space="0" w:color="auto"/>
        <w:right w:val="none" w:sz="0" w:space="0" w:color="auto"/>
      </w:divBdr>
    </w:div>
    <w:div w:id="293295540">
      <w:bodyDiv w:val="1"/>
      <w:marLeft w:val="0"/>
      <w:marRight w:val="0"/>
      <w:marTop w:val="0"/>
      <w:marBottom w:val="0"/>
      <w:divBdr>
        <w:top w:val="none" w:sz="0" w:space="0" w:color="auto"/>
        <w:left w:val="none" w:sz="0" w:space="0" w:color="auto"/>
        <w:bottom w:val="none" w:sz="0" w:space="0" w:color="auto"/>
        <w:right w:val="none" w:sz="0" w:space="0" w:color="auto"/>
      </w:divBdr>
    </w:div>
    <w:div w:id="295183794">
      <w:bodyDiv w:val="1"/>
      <w:marLeft w:val="0"/>
      <w:marRight w:val="0"/>
      <w:marTop w:val="0"/>
      <w:marBottom w:val="0"/>
      <w:divBdr>
        <w:top w:val="none" w:sz="0" w:space="0" w:color="auto"/>
        <w:left w:val="none" w:sz="0" w:space="0" w:color="auto"/>
        <w:bottom w:val="none" w:sz="0" w:space="0" w:color="auto"/>
        <w:right w:val="none" w:sz="0" w:space="0" w:color="auto"/>
      </w:divBdr>
    </w:div>
    <w:div w:id="319770134">
      <w:bodyDiv w:val="1"/>
      <w:marLeft w:val="0"/>
      <w:marRight w:val="0"/>
      <w:marTop w:val="0"/>
      <w:marBottom w:val="0"/>
      <w:divBdr>
        <w:top w:val="none" w:sz="0" w:space="0" w:color="auto"/>
        <w:left w:val="none" w:sz="0" w:space="0" w:color="auto"/>
        <w:bottom w:val="none" w:sz="0" w:space="0" w:color="auto"/>
        <w:right w:val="none" w:sz="0" w:space="0" w:color="auto"/>
      </w:divBdr>
    </w:div>
    <w:div w:id="324167246">
      <w:bodyDiv w:val="1"/>
      <w:marLeft w:val="0"/>
      <w:marRight w:val="0"/>
      <w:marTop w:val="0"/>
      <w:marBottom w:val="0"/>
      <w:divBdr>
        <w:top w:val="none" w:sz="0" w:space="0" w:color="auto"/>
        <w:left w:val="none" w:sz="0" w:space="0" w:color="auto"/>
        <w:bottom w:val="none" w:sz="0" w:space="0" w:color="auto"/>
        <w:right w:val="none" w:sz="0" w:space="0" w:color="auto"/>
      </w:divBdr>
    </w:div>
    <w:div w:id="332489629">
      <w:bodyDiv w:val="1"/>
      <w:marLeft w:val="0"/>
      <w:marRight w:val="0"/>
      <w:marTop w:val="0"/>
      <w:marBottom w:val="0"/>
      <w:divBdr>
        <w:top w:val="none" w:sz="0" w:space="0" w:color="auto"/>
        <w:left w:val="none" w:sz="0" w:space="0" w:color="auto"/>
        <w:bottom w:val="none" w:sz="0" w:space="0" w:color="auto"/>
        <w:right w:val="none" w:sz="0" w:space="0" w:color="auto"/>
      </w:divBdr>
    </w:div>
    <w:div w:id="335498148">
      <w:bodyDiv w:val="1"/>
      <w:marLeft w:val="0"/>
      <w:marRight w:val="0"/>
      <w:marTop w:val="0"/>
      <w:marBottom w:val="0"/>
      <w:divBdr>
        <w:top w:val="none" w:sz="0" w:space="0" w:color="auto"/>
        <w:left w:val="none" w:sz="0" w:space="0" w:color="auto"/>
        <w:bottom w:val="none" w:sz="0" w:space="0" w:color="auto"/>
        <w:right w:val="none" w:sz="0" w:space="0" w:color="auto"/>
      </w:divBdr>
    </w:div>
    <w:div w:id="353850327">
      <w:bodyDiv w:val="1"/>
      <w:marLeft w:val="0"/>
      <w:marRight w:val="0"/>
      <w:marTop w:val="0"/>
      <w:marBottom w:val="0"/>
      <w:divBdr>
        <w:top w:val="none" w:sz="0" w:space="0" w:color="auto"/>
        <w:left w:val="none" w:sz="0" w:space="0" w:color="auto"/>
        <w:bottom w:val="none" w:sz="0" w:space="0" w:color="auto"/>
        <w:right w:val="none" w:sz="0" w:space="0" w:color="auto"/>
      </w:divBdr>
    </w:div>
    <w:div w:id="393242082">
      <w:bodyDiv w:val="1"/>
      <w:marLeft w:val="0"/>
      <w:marRight w:val="0"/>
      <w:marTop w:val="0"/>
      <w:marBottom w:val="0"/>
      <w:divBdr>
        <w:top w:val="none" w:sz="0" w:space="0" w:color="auto"/>
        <w:left w:val="none" w:sz="0" w:space="0" w:color="auto"/>
        <w:bottom w:val="none" w:sz="0" w:space="0" w:color="auto"/>
        <w:right w:val="none" w:sz="0" w:space="0" w:color="auto"/>
      </w:divBdr>
    </w:div>
    <w:div w:id="396126650">
      <w:bodyDiv w:val="1"/>
      <w:marLeft w:val="0"/>
      <w:marRight w:val="0"/>
      <w:marTop w:val="0"/>
      <w:marBottom w:val="0"/>
      <w:divBdr>
        <w:top w:val="none" w:sz="0" w:space="0" w:color="auto"/>
        <w:left w:val="none" w:sz="0" w:space="0" w:color="auto"/>
        <w:bottom w:val="none" w:sz="0" w:space="0" w:color="auto"/>
        <w:right w:val="none" w:sz="0" w:space="0" w:color="auto"/>
      </w:divBdr>
    </w:div>
    <w:div w:id="439106316">
      <w:bodyDiv w:val="1"/>
      <w:marLeft w:val="0"/>
      <w:marRight w:val="0"/>
      <w:marTop w:val="0"/>
      <w:marBottom w:val="0"/>
      <w:divBdr>
        <w:top w:val="none" w:sz="0" w:space="0" w:color="auto"/>
        <w:left w:val="none" w:sz="0" w:space="0" w:color="auto"/>
        <w:bottom w:val="none" w:sz="0" w:space="0" w:color="auto"/>
        <w:right w:val="none" w:sz="0" w:space="0" w:color="auto"/>
      </w:divBdr>
    </w:div>
    <w:div w:id="439186778">
      <w:bodyDiv w:val="1"/>
      <w:marLeft w:val="0"/>
      <w:marRight w:val="0"/>
      <w:marTop w:val="0"/>
      <w:marBottom w:val="0"/>
      <w:divBdr>
        <w:top w:val="none" w:sz="0" w:space="0" w:color="auto"/>
        <w:left w:val="none" w:sz="0" w:space="0" w:color="auto"/>
        <w:bottom w:val="none" w:sz="0" w:space="0" w:color="auto"/>
        <w:right w:val="none" w:sz="0" w:space="0" w:color="auto"/>
      </w:divBdr>
    </w:div>
    <w:div w:id="442186473">
      <w:bodyDiv w:val="1"/>
      <w:marLeft w:val="0"/>
      <w:marRight w:val="0"/>
      <w:marTop w:val="0"/>
      <w:marBottom w:val="0"/>
      <w:divBdr>
        <w:top w:val="none" w:sz="0" w:space="0" w:color="auto"/>
        <w:left w:val="none" w:sz="0" w:space="0" w:color="auto"/>
        <w:bottom w:val="none" w:sz="0" w:space="0" w:color="auto"/>
        <w:right w:val="none" w:sz="0" w:space="0" w:color="auto"/>
      </w:divBdr>
    </w:div>
    <w:div w:id="444232798">
      <w:bodyDiv w:val="1"/>
      <w:marLeft w:val="0"/>
      <w:marRight w:val="0"/>
      <w:marTop w:val="0"/>
      <w:marBottom w:val="0"/>
      <w:divBdr>
        <w:top w:val="none" w:sz="0" w:space="0" w:color="auto"/>
        <w:left w:val="none" w:sz="0" w:space="0" w:color="auto"/>
        <w:bottom w:val="none" w:sz="0" w:space="0" w:color="auto"/>
        <w:right w:val="none" w:sz="0" w:space="0" w:color="auto"/>
      </w:divBdr>
    </w:div>
    <w:div w:id="459305122">
      <w:bodyDiv w:val="1"/>
      <w:marLeft w:val="0"/>
      <w:marRight w:val="0"/>
      <w:marTop w:val="0"/>
      <w:marBottom w:val="0"/>
      <w:divBdr>
        <w:top w:val="none" w:sz="0" w:space="0" w:color="auto"/>
        <w:left w:val="none" w:sz="0" w:space="0" w:color="auto"/>
        <w:bottom w:val="none" w:sz="0" w:space="0" w:color="auto"/>
        <w:right w:val="none" w:sz="0" w:space="0" w:color="auto"/>
      </w:divBdr>
    </w:div>
    <w:div w:id="494952377">
      <w:bodyDiv w:val="1"/>
      <w:marLeft w:val="0"/>
      <w:marRight w:val="0"/>
      <w:marTop w:val="0"/>
      <w:marBottom w:val="0"/>
      <w:divBdr>
        <w:top w:val="none" w:sz="0" w:space="0" w:color="auto"/>
        <w:left w:val="none" w:sz="0" w:space="0" w:color="auto"/>
        <w:bottom w:val="none" w:sz="0" w:space="0" w:color="auto"/>
        <w:right w:val="none" w:sz="0" w:space="0" w:color="auto"/>
      </w:divBdr>
    </w:div>
    <w:div w:id="499002212">
      <w:bodyDiv w:val="1"/>
      <w:marLeft w:val="0"/>
      <w:marRight w:val="0"/>
      <w:marTop w:val="0"/>
      <w:marBottom w:val="0"/>
      <w:divBdr>
        <w:top w:val="none" w:sz="0" w:space="0" w:color="auto"/>
        <w:left w:val="none" w:sz="0" w:space="0" w:color="auto"/>
        <w:bottom w:val="none" w:sz="0" w:space="0" w:color="auto"/>
        <w:right w:val="none" w:sz="0" w:space="0" w:color="auto"/>
      </w:divBdr>
    </w:div>
    <w:div w:id="504437544">
      <w:bodyDiv w:val="1"/>
      <w:marLeft w:val="0"/>
      <w:marRight w:val="0"/>
      <w:marTop w:val="0"/>
      <w:marBottom w:val="0"/>
      <w:divBdr>
        <w:top w:val="none" w:sz="0" w:space="0" w:color="auto"/>
        <w:left w:val="none" w:sz="0" w:space="0" w:color="auto"/>
        <w:bottom w:val="none" w:sz="0" w:space="0" w:color="auto"/>
        <w:right w:val="none" w:sz="0" w:space="0" w:color="auto"/>
      </w:divBdr>
    </w:div>
    <w:div w:id="538933974">
      <w:bodyDiv w:val="1"/>
      <w:marLeft w:val="0"/>
      <w:marRight w:val="0"/>
      <w:marTop w:val="0"/>
      <w:marBottom w:val="0"/>
      <w:divBdr>
        <w:top w:val="none" w:sz="0" w:space="0" w:color="auto"/>
        <w:left w:val="none" w:sz="0" w:space="0" w:color="auto"/>
        <w:bottom w:val="none" w:sz="0" w:space="0" w:color="auto"/>
        <w:right w:val="none" w:sz="0" w:space="0" w:color="auto"/>
      </w:divBdr>
    </w:div>
    <w:div w:id="545876892">
      <w:bodyDiv w:val="1"/>
      <w:marLeft w:val="0"/>
      <w:marRight w:val="0"/>
      <w:marTop w:val="0"/>
      <w:marBottom w:val="0"/>
      <w:divBdr>
        <w:top w:val="none" w:sz="0" w:space="0" w:color="auto"/>
        <w:left w:val="none" w:sz="0" w:space="0" w:color="auto"/>
        <w:bottom w:val="none" w:sz="0" w:space="0" w:color="auto"/>
        <w:right w:val="none" w:sz="0" w:space="0" w:color="auto"/>
      </w:divBdr>
    </w:div>
    <w:div w:id="555438057">
      <w:bodyDiv w:val="1"/>
      <w:marLeft w:val="0"/>
      <w:marRight w:val="0"/>
      <w:marTop w:val="0"/>
      <w:marBottom w:val="0"/>
      <w:divBdr>
        <w:top w:val="none" w:sz="0" w:space="0" w:color="auto"/>
        <w:left w:val="none" w:sz="0" w:space="0" w:color="auto"/>
        <w:bottom w:val="none" w:sz="0" w:space="0" w:color="auto"/>
        <w:right w:val="none" w:sz="0" w:space="0" w:color="auto"/>
      </w:divBdr>
    </w:div>
    <w:div w:id="567764987">
      <w:bodyDiv w:val="1"/>
      <w:marLeft w:val="0"/>
      <w:marRight w:val="0"/>
      <w:marTop w:val="0"/>
      <w:marBottom w:val="0"/>
      <w:divBdr>
        <w:top w:val="none" w:sz="0" w:space="0" w:color="auto"/>
        <w:left w:val="none" w:sz="0" w:space="0" w:color="auto"/>
        <w:bottom w:val="none" w:sz="0" w:space="0" w:color="auto"/>
        <w:right w:val="none" w:sz="0" w:space="0" w:color="auto"/>
      </w:divBdr>
    </w:div>
    <w:div w:id="592906555">
      <w:bodyDiv w:val="1"/>
      <w:marLeft w:val="0"/>
      <w:marRight w:val="0"/>
      <w:marTop w:val="0"/>
      <w:marBottom w:val="0"/>
      <w:divBdr>
        <w:top w:val="none" w:sz="0" w:space="0" w:color="auto"/>
        <w:left w:val="none" w:sz="0" w:space="0" w:color="auto"/>
        <w:bottom w:val="none" w:sz="0" w:space="0" w:color="auto"/>
        <w:right w:val="none" w:sz="0" w:space="0" w:color="auto"/>
      </w:divBdr>
    </w:div>
    <w:div w:id="628900235">
      <w:bodyDiv w:val="1"/>
      <w:marLeft w:val="0"/>
      <w:marRight w:val="0"/>
      <w:marTop w:val="0"/>
      <w:marBottom w:val="0"/>
      <w:divBdr>
        <w:top w:val="none" w:sz="0" w:space="0" w:color="auto"/>
        <w:left w:val="none" w:sz="0" w:space="0" w:color="auto"/>
        <w:bottom w:val="none" w:sz="0" w:space="0" w:color="auto"/>
        <w:right w:val="none" w:sz="0" w:space="0" w:color="auto"/>
      </w:divBdr>
    </w:div>
    <w:div w:id="635068864">
      <w:bodyDiv w:val="1"/>
      <w:marLeft w:val="0"/>
      <w:marRight w:val="0"/>
      <w:marTop w:val="0"/>
      <w:marBottom w:val="0"/>
      <w:divBdr>
        <w:top w:val="none" w:sz="0" w:space="0" w:color="auto"/>
        <w:left w:val="none" w:sz="0" w:space="0" w:color="auto"/>
        <w:bottom w:val="none" w:sz="0" w:space="0" w:color="auto"/>
        <w:right w:val="none" w:sz="0" w:space="0" w:color="auto"/>
      </w:divBdr>
    </w:div>
    <w:div w:id="635138580">
      <w:bodyDiv w:val="1"/>
      <w:marLeft w:val="0"/>
      <w:marRight w:val="0"/>
      <w:marTop w:val="0"/>
      <w:marBottom w:val="0"/>
      <w:divBdr>
        <w:top w:val="none" w:sz="0" w:space="0" w:color="auto"/>
        <w:left w:val="none" w:sz="0" w:space="0" w:color="auto"/>
        <w:bottom w:val="none" w:sz="0" w:space="0" w:color="auto"/>
        <w:right w:val="none" w:sz="0" w:space="0" w:color="auto"/>
      </w:divBdr>
    </w:div>
    <w:div w:id="650062291">
      <w:bodyDiv w:val="1"/>
      <w:marLeft w:val="0"/>
      <w:marRight w:val="0"/>
      <w:marTop w:val="0"/>
      <w:marBottom w:val="0"/>
      <w:divBdr>
        <w:top w:val="none" w:sz="0" w:space="0" w:color="auto"/>
        <w:left w:val="none" w:sz="0" w:space="0" w:color="auto"/>
        <w:bottom w:val="none" w:sz="0" w:space="0" w:color="auto"/>
        <w:right w:val="none" w:sz="0" w:space="0" w:color="auto"/>
      </w:divBdr>
    </w:div>
    <w:div w:id="660230350">
      <w:bodyDiv w:val="1"/>
      <w:marLeft w:val="0"/>
      <w:marRight w:val="0"/>
      <w:marTop w:val="0"/>
      <w:marBottom w:val="0"/>
      <w:divBdr>
        <w:top w:val="none" w:sz="0" w:space="0" w:color="auto"/>
        <w:left w:val="none" w:sz="0" w:space="0" w:color="auto"/>
        <w:bottom w:val="none" w:sz="0" w:space="0" w:color="auto"/>
        <w:right w:val="none" w:sz="0" w:space="0" w:color="auto"/>
      </w:divBdr>
    </w:div>
    <w:div w:id="675109479">
      <w:bodyDiv w:val="1"/>
      <w:marLeft w:val="0"/>
      <w:marRight w:val="0"/>
      <w:marTop w:val="0"/>
      <w:marBottom w:val="0"/>
      <w:divBdr>
        <w:top w:val="none" w:sz="0" w:space="0" w:color="auto"/>
        <w:left w:val="none" w:sz="0" w:space="0" w:color="auto"/>
        <w:bottom w:val="none" w:sz="0" w:space="0" w:color="auto"/>
        <w:right w:val="none" w:sz="0" w:space="0" w:color="auto"/>
      </w:divBdr>
    </w:div>
    <w:div w:id="676466120">
      <w:bodyDiv w:val="1"/>
      <w:marLeft w:val="0"/>
      <w:marRight w:val="0"/>
      <w:marTop w:val="0"/>
      <w:marBottom w:val="0"/>
      <w:divBdr>
        <w:top w:val="none" w:sz="0" w:space="0" w:color="auto"/>
        <w:left w:val="none" w:sz="0" w:space="0" w:color="auto"/>
        <w:bottom w:val="none" w:sz="0" w:space="0" w:color="auto"/>
        <w:right w:val="none" w:sz="0" w:space="0" w:color="auto"/>
      </w:divBdr>
    </w:div>
    <w:div w:id="683172846">
      <w:bodyDiv w:val="1"/>
      <w:marLeft w:val="0"/>
      <w:marRight w:val="0"/>
      <w:marTop w:val="0"/>
      <w:marBottom w:val="0"/>
      <w:divBdr>
        <w:top w:val="none" w:sz="0" w:space="0" w:color="auto"/>
        <w:left w:val="none" w:sz="0" w:space="0" w:color="auto"/>
        <w:bottom w:val="none" w:sz="0" w:space="0" w:color="auto"/>
        <w:right w:val="none" w:sz="0" w:space="0" w:color="auto"/>
      </w:divBdr>
    </w:div>
    <w:div w:id="689570537">
      <w:bodyDiv w:val="1"/>
      <w:marLeft w:val="0"/>
      <w:marRight w:val="0"/>
      <w:marTop w:val="0"/>
      <w:marBottom w:val="0"/>
      <w:divBdr>
        <w:top w:val="none" w:sz="0" w:space="0" w:color="auto"/>
        <w:left w:val="none" w:sz="0" w:space="0" w:color="auto"/>
        <w:bottom w:val="none" w:sz="0" w:space="0" w:color="auto"/>
        <w:right w:val="none" w:sz="0" w:space="0" w:color="auto"/>
      </w:divBdr>
    </w:div>
    <w:div w:id="700011163">
      <w:bodyDiv w:val="1"/>
      <w:marLeft w:val="0"/>
      <w:marRight w:val="0"/>
      <w:marTop w:val="0"/>
      <w:marBottom w:val="0"/>
      <w:divBdr>
        <w:top w:val="none" w:sz="0" w:space="0" w:color="auto"/>
        <w:left w:val="none" w:sz="0" w:space="0" w:color="auto"/>
        <w:bottom w:val="none" w:sz="0" w:space="0" w:color="auto"/>
        <w:right w:val="none" w:sz="0" w:space="0" w:color="auto"/>
      </w:divBdr>
    </w:div>
    <w:div w:id="707022663">
      <w:bodyDiv w:val="1"/>
      <w:marLeft w:val="0"/>
      <w:marRight w:val="0"/>
      <w:marTop w:val="0"/>
      <w:marBottom w:val="0"/>
      <w:divBdr>
        <w:top w:val="none" w:sz="0" w:space="0" w:color="auto"/>
        <w:left w:val="none" w:sz="0" w:space="0" w:color="auto"/>
        <w:bottom w:val="none" w:sz="0" w:space="0" w:color="auto"/>
        <w:right w:val="none" w:sz="0" w:space="0" w:color="auto"/>
      </w:divBdr>
    </w:div>
    <w:div w:id="720324706">
      <w:bodyDiv w:val="1"/>
      <w:marLeft w:val="0"/>
      <w:marRight w:val="0"/>
      <w:marTop w:val="0"/>
      <w:marBottom w:val="0"/>
      <w:divBdr>
        <w:top w:val="none" w:sz="0" w:space="0" w:color="auto"/>
        <w:left w:val="none" w:sz="0" w:space="0" w:color="auto"/>
        <w:bottom w:val="none" w:sz="0" w:space="0" w:color="auto"/>
        <w:right w:val="none" w:sz="0" w:space="0" w:color="auto"/>
      </w:divBdr>
    </w:div>
    <w:div w:id="737947099">
      <w:bodyDiv w:val="1"/>
      <w:marLeft w:val="0"/>
      <w:marRight w:val="0"/>
      <w:marTop w:val="0"/>
      <w:marBottom w:val="0"/>
      <w:divBdr>
        <w:top w:val="none" w:sz="0" w:space="0" w:color="auto"/>
        <w:left w:val="none" w:sz="0" w:space="0" w:color="auto"/>
        <w:bottom w:val="none" w:sz="0" w:space="0" w:color="auto"/>
        <w:right w:val="none" w:sz="0" w:space="0" w:color="auto"/>
      </w:divBdr>
    </w:div>
    <w:div w:id="751507496">
      <w:bodyDiv w:val="1"/>
      <w:marLeft w:val="0"/>
      <w:marRight w:val="0"/>
      <w:marTop w:val="0"/>
      <w:marBottom w:val="0"/>
      <w:divBdr>
        <w:top w:val="none" w:sz="0" w:space="0" w:color="auto"/>
        <w:left w:val="none" w:sz="0" w:space="0" w:color="auto"/>
        <w:bottom w:val="none" w:sz="0" w:space="0" w:color="auto"/>
        <w:right w:val="none" w:sz="0" w:space="0" w:color="auto"/>
      </w:divBdr>
    </w:div>
    <w:div w:id="751707503">
      <w:bodyDiv w:val="1"/>
      <w:marLeft w:val="0"/>
      <w:marRight w:val="0"/>
      <w:marTop w:val="0"/>
      <w:marBottom w:val="0"/>
      <w:divBdr>
        <w:top w:val="none" w:sz="0" w:space="0" w:color="auto"/>
        <w:left w:val="none" w:sz="0" w:space="0" w:color="auto"/>
        <w:bottom w:val="none" w:sz="0" w:space="0" w:color="auto"/>
        <w:right w:val="none" w:sz="0" w:space="0" w:color="auto"/>
      </w:divBdr>
      <w:divsChild>
        <w:div w:id="482888791">
          <w:marLeft w:val="547"/>
          <w:marRight w:val="0"/>
          <w:marTop w:val="106"/>
          <w:marBottom w:val="0"/>
          <w:divBdr>
            <w:top w:val="none" w:sz="0" w:space="0" w:color="auto"/>
            <w:left w:val="none" w:sz="0" w:space="0" w:color="auto"/>
            <w:bottom w:val="none" w:sz="0" w:space="0" w:color="auto"/>
            <w:right w:val="none" w:sz="0" w:space="0" w:color="auto"/>
          </w:divBdr>
        </w:div>
        <w:div w:id="1254318562">
          <w:marLeft w:val="1166"/>
          <w:marRight w:val="0"/>
          <w:marTop w:val="96"/>
          <w:marBottom w:val="0"/>
          <w:divBdr>
            <w:top w:val="none" w:sz="0" w:space="0" w:color="auto"/>
            <w:left w:val="none" w:sz="0" w:space="0" w:color="auto"/>
            <w:bottom w:val="none" w:sz="0" w:space="0" w:color="auto"/>
            <w:right w:val="none" w:sz="0" w:space="0" w:color="auto"/>
          </w:divBdr>
        </w:div>
        <w:div w:id="1779107992">
          <w:marLeft w:val="1166"/>
          <w:marRight w:val="0"/>
          <w:marTop w:val="96"/>
          <w:marBottom w:val="0"/>
          <w:divBdr>
            <w:top w:val="none" w:sz="0" w:space="0" w:color="auto"/>
            <w:left w:val="none" w:sz="0" w:space="0" w:color="auto"/>
            <w:bottom w:val="none" w:sz="0" w:space="0" w:color="auto"/>
            <w:right w:val="none" w:sz="0" w:space="0" w:color="auto"/>
          </w:divBdr>
        </w:div>
        <w:div w:id="1560745449">
          <w:marLeft w:val="1166"/>
          <w:marRight w:val="0"/>
          <w:marTop w:val="96"/>
          <w:marBottom w:val="0"/>
          <w:divBdr>
            <w:top w:val="none" w:sz="0" w:space="0" w:color="auto"/>
            <w:left w:val="none" w:sz="0" w:space="0" w:color="auto"/>
            <w:bottom w:val="none" w:sz="0" w:space="0" w:color="auto"/>
            <w:right w:val="none" w:sz="0" w:space="0" w:color="auto"/>
          </w:divBdr>
        </w:div>
        <w:div w:id="1354578936">
          <w:marLeft w:val="1166"/>
          <w:marRight w:val="0"/>
          <w:marTop w:val="96"/>
          <w:marBottom w:val="0"/>
          <w:divBdr>
            <w:top w:val="none" w:sz="0" w:space="0" w:color="auto"/>
            <w:left w:val="none" w:sz="0" w:space="0" w:color="auto"/>
            <w:bottom w:val="none" w:sz="0" w:space="0" w:color="auto"/>
            <w:right w:val="none" w:sz="0" w:space="0" w:color="auto"/>
          </w:divBdr>
        </w:div>
        <w:div w:id="881791702">
          <w:marLeft w:val="1166"/>
          <w:marRight w:val="0"/>
          <w:marTop w:val="96"/>
          <w:marBottom w:val="0"/>
          <w:divBdr>
            <w:top w:val="none" w:sz="0" w:space="0" w:color="auto"/>
            <w:left w:val="none" w:sz="0" w:space="0" w:color="auto"/>
            <w:bottom w:val="none" w:sz="0" w:space="0" w:color="auto"/>
            <w:right w:val="none" w:sz="0" w:space="0" w:color="auto"/>
          </w:divBdr>
        </w:div>
        <w:div w:id="1646231138">
          <w:marLeft w:val="1166"/>
          <w:marRight w:val="0"/>
          <w:marTop w:val="96"/>
          <w:marBottom w:val="0"/>
          <w:divBdr>
            <w:top w:val="none" w:sz="0" w:space="0" w:color="auto"/>
            <w:left w:val="none" w:sz="0" w:space="0" w:color="auto"/>
            <w:bottom w:val="none" w:sz="0" w:space="0" w:color="auto"/>
            <w:right w:val="none" w:sz="0" w:space="0" w:color="auto"/>
          </w:divBdr>
        </w:div>
        <w:div w:id="1361056026">
          <w:marLeft w:val="1166"/>
          <w:marRight w:val="0"/>
          <w:marTop w:val="96"/>
          <w:marBottom w:val="0"/>
          <w:divBdr>
            <w:top w:val="none" w:sz="0" w:space="0" w:color="auto"/>
            <w:left w:val="none" w:sz="0" w:space="0" w:color="auto"/>
            <w:bottom w:val="none" w:sz="0" w:space="0" w:color="auto"/>
            <w:right w:val="none" w:sz="0" w:space="0" w:color="auto"/>
          </w:divBdr>
        </w:div>
        <w:div w:id="631639153">
          <w:marLeft w:val="1166"/>
          <w:marRight w:val="0"/>
          <w:marTop w:val="96"/>
          <w:marBottom w:val="0"/>
          <w:divBdr>
            <w:top w:val="none" w:sz="0" w:space="0" w:color="auto"/>
            <w:left w:val="none" w:sz="0" w:space="0" w:color="auto"/>
            <w:bottom w:val="none" w:sz="0" w:space="0" w:color="auto"/>
            <w:right w:val="none" w:sz="0" w:space="0" w:color="auto"/>
          </w:divBdr>
        </w:div>
        <w:div w:id="47996630">
          <w:marLeft w:val="1800"/>
          <w:marRight w:val="0"/>
          <w:marTop w:val="82"/>
          <w:marBottom w:val="0"/>
          <w:divBdr>
            <w:top w:val="none" w:sz="0" w:space="0" w:color="auto"/>
            <w:left w:val="none" w:sz="0" w:space="0" w:color="auto"/>
            <w:bottom w:val="none" w:sz="0" w:space="0" w:color="auto"/>
            <w:right w:val="none" w:sz="0" w:space="0" w:color="auto"/>
          </w:divBdr>
        </w:div>
        <w:div w:id="2120950732">
          <w:marLeft w:val="1800"/>
          <w:marRight w:val="0"/>
          <w:marTop w:val="82"/>
          <w:marBottom w:val="0"/>
          <w:divBdr>
            <w:top w:val="none" w:sz="0" w:space="0" w:color="auto"/>
            <w:left w:val="none" w:sz="0" w:space="0" w:color="auto"/>
            <w:bottom w:val="none" w:sz="0" w:space="0" w:color="auto"/>
            <w:right w:val="none" w:sz="0" w:space="0" w:color="auto"/>
          </w:divBdr>
        </w:div>
        <w:div w:id="548226037">
          <w:marLeft w:val="1800"/>
          <w:marRight w:val="0"/>
          <w:marTop w:val="82"/>
          <w:marBottom w:val="0"/>
          <w:divBdr>
            <w:top w:val="none" w:sz="0" w:space="0" w:color="auto"/>
            <w:left w:val="none" w:sz="0" w:space="0" w:color="auto"/>
            <w:bottom w:val="none" w:sz="0" w:space="0" w:color="auto"/>
            <w:right w:val="none" w:sz="0" w:space="0" w:color="auto"/>
          </w:divBdr>
        </w:div>
        <w:div w:id="267977177">
          <w:marLeft w:val="1800"/>
          <w:marRight w:val="0"/>
          <w:marTop w:val="82"/>
          <w:marBottom w:val="0"/>
          <w:divBdr>
            <w:top w:val="none" w:sz="0" w:space="0" w:color="auto"/>
            <w:left w:val="none" w:sz="0" w:space="0" w:color="auto"/>
            <w:bottom w:val="none" w:sz="0" w:space="0" w:color="auto"/>
            <w:right w:val="none" w:sz="0" w:space="0" w:color="auto"/>
          </w:divBdr>
        </w:div>
        <w:div w:id="635181582">
          <w:marLeft w:val="1800"/>
          <w:marRight w:val="0"/>
          <w:marTop w:val="82"/>
          <w:marBottom w:val="0"/>
          <w:divBdr>
            <w:top w:val="none" w:sz="0" w:space="0" w:color="auto"/>
            <w:left w:val="none" w:sz="0" w:space="0" w:color="auto"/>
            <w:bottom w:val="none" w:sz="0" w:space="0" w:color="auto"/>
            <w:right w:val="none" w:sz="0" w:space="0" w:color="auto"/>
          </w:divBdr>
        </w:div>
        <w:div w:id="834422420">
          <w:marLeft w:val="1800"/>
          <w:marRight w:val="0"/>
          <w:marTop w:val="82"/>
          <w:marBottom w:val="0"/>
          <w:divBdr>
            <w:top w:val="none" w:sz="0" w:space="0" w:color="auto"/>
            <w:left w:val="none" w:sz="0" w:space="0" w:color="auto"/>
            <w:bottom w:val="none" w:sz="0" w:space="0" w:color="auto"/>
            <w:right w:val="none" w:sz="0" w:space="0" w:color="auto"/>
          </w:divBdr>
        </w:div>
      </w:divsChild>
    </w:div>
    <w:div w:id="819998258">
      <w:bodyDiv w:val="1"/>
      <w:marLeft w:val="0"/>
      <w:marRight w:val="0"/>
      <w:marTop w:val="0"/>
      <w:marBottom w:val="0"/>
      <w:divBdr>
        <w:top w:val="none" w:sz="0" w:space="0" w:color="auto"/>
        <w:left w:val="none" w:sz="0" w:space="0" w:color="auto"/>
        <w:bottom w:val="none" w:sz="0" w:space="0" w:color="auto"/>
        <w:right w:val="none" w:sz="0" w:space="0" w:color="auto"/>
      </w:divBdr>
    </w:div>
    <w:div w:id="823398295">
      <w:bodyDiv w:val="1"/>
      <w:marLeft w:val="0"/>
      <w:marRight w:val="0"/>
      <w:marTop w:val="0"/>
      <w:marBottom w:val="0"/>
      <w:divBdr>
        <w:top w:val="none" w:sz="0" w:space="0" w:color="auto"/>
        <w:left w:val="none" w:sz="0" w:space="0" w:color="auto"/>
        <w:bottom w:val="none" w:sz="0" w:space="0" w:color="auto"/>
        <w:right w:val="none" w:sz="0" w:space="0" w:color="auto"/>
      </w:divBdr>
    </w:div>
    <w:div w:id="834223638">
      <w:bodyDiv w:val="1"/>
      <w:marLeft w:val="0"/>
      <w:marRight w:val="0"/>
      <w:marTop w:val="0"/>
      <w:marBottom w:val="0"/>
      <w:divBdr>
        <w:top w:val="none" w:sz="0" w:space="0" w:color="auto"/>
        <w:left w:val="none" w:sz="0" w:space="0" w:color="auto"/>
        <w:bottom w:val="none" w:sz="0" w:space="0" w:color="auto"/>
        <w:right w:val="none" w:sz="0" w:space="0" w:color="auto"/>
      </w:divBdr>
    </w:div>
    <w:div w:id="849563668">
      <w:bodyDiv w:val="1"/>
      <w:marLeft w:val="0"/>
      <w:marRight w:val="0"/>
      <w:marTop w:val="0"/>
      <w:marBottom w:val="0"/>
      <w:divBdr>
        <w:top w:val="none" w:sz="0" w:space="0" w:color="auto"/>
        <w:left w:val="none" w:sz="0" w:space="0" w:color="auto"/>
        <w:bottom w:val="none" w:sz="0" w:space="0" w:color="auto"/>
        <w:right w:val="none" w:sz="0" w:space="0" w:color="auto"/>
      </w:divBdr>
    </w:div>
    <w:div w:id="851651029">
      <w:bodyDiv w:val="1"/>
      <w:marLeft w:val="0"/>
      <w:marRight w:val="0"/>
      <w:marTop w:val="0"/>
      <w:marBottom w:val="0"/>
      <w:divBdr>
        <w:top w:val="none" w:sz="0" w:space="0" w:color="auto"/>
        <w:left w:val="none" w:sz="0" w:space="0" w:color="auto"/>
        <w:bottom w:val="none" w:sz="0" w:space="0" w:color="auto"/>
        <w:right w:val="none" w:sz="0" w:space="0" w:color="auto"/>
      </w:divBdr>
    </w:div>
    <w:div w:id="851838944">
      <w:bodyDiv w:val="1"/>
      <w:marLeft w:val="0"/>
      <w:marRight w:val="0"/>
      <w:marTop w:val="0"/>
      <w:marBottom w:val="0"/>
      <w:divBdr>
        <w:top w:val="none" w:sz="0" w:space="0" w:color="auto"/>
        <w:left w:val="none" w:sz="0" w:space="0" w:color="auto"/>
        <w:bottom w:val="none" w:sz="0" w:space="0" w:color="auto"/>
        <w:right w:val="none" w:sz="0" w:space="0" w:color="auto"/>
      </w:divBdr>
    </w:div>
    <w:div w:id="856433140">
      <w:bodyDiv w:val="1"/>
      <w:marLeft w:val="0"/>
      <w:marRight w:val="0"/>
      <w:marTop w:val="0"/>
      <w:marBottom w:val="0"/>
      <w:divBdr>
        <w:top w:val="none" w:sz="0" w:space="0" w:color="auto"/>
        <w:left w:val="none" w:sz="0" w:space="0" w:color="auto"/>
        <w:bottom w:val="none" w:sz="0" w:space="0" w:color="auto"/>
        <w:right w:val="none" w:sz="0" w:space="0" w:color="auto"/>
      </w:divBdr>
    </w:div>
    <w:div w:id="857813252">
      <w:bodyDiv w:val="1"/>
      <w:marLeft w:val="0"/>
      <w:marRight w:val="0"/>
      <w:marTop w:val="0"/>
      <w:marBottom w:val="0"/>
      <w:divBdr>
        <w:top w:val="none" w:sz="0" w:space="0" w:color="auto"/>
        <w:left w:val="none" w:sz="0" w:space="0" w:color="auto"/>
        <w:bottom w:val="none" w:sz="0" w:space="0" w:color="auto"/>
        <w:right w:val="none" w:sz="0" w:space="0" w:color="auto"/>
      </w:divBdr>
    </w:div>
    <w:div w:id="864829267">
      <w:bodyDiv w:val="1"/>
      <w:marLeft w:val="0"/>
      <w:marRight w:val="0"/>
      <w:marTop w:val="0"/>
      <w:marBottom w:val="0"/>
      <w:divBdr>
        <w:top w:val="none" w:sz="0" w:space="0" w:color="auto"/>
        <w:left w:val="none" w:sz="0" w:space="0" w:color="auto"/>
        <w:bottom w:val="none" w:sz="0" w:space="0" w:color="auto"/>
        <w:right w:val="none" w:sz="0" w:space="0" w:color="auto"/>
      </w:divBdr>
    </w:div>
    <w:div w:id="871921928">
      <w:bodyDiv w:val="1"/>
      <w:marLeft w:val="0"/>
      <w:marRight w:val="0"/>
      <w:marTop w:val="0"/>
      <w:marBottom w:val="0"/>
      <w:divBdr>
        <w:top w:val="none" w:sz="0" w:space="0" w:color="auto"/>
        <w:left w:val="none" w:sz="0" w:space="0" w:color="auto"/>
        <w:bottom w:val="none" w:sz="0" w:space="0" w:color="auto"/>
        <w:right w:val="none" w:sz="0" w:space="0" w:color="auto"/>
      </w:divBdr>
    </w:div>
    <w:div w:id="881207788">
      <w:bodyDiv w:val="1"/>
      <w:marLeft w:val="0"/>
      <w:marRight w:val="0"/>
      <w:marTop w:val="0"/>
      <w:marBottom w:val="0"/>
      <w:divBdr>
        <w:top w:val="none" w:sz="0" w:space="0" w:color="auto"/>
        <w:left w:val="none" w:sz="0" w:space="0" w:color="auto"/>
        <w:bottom w:val="none" w:sz="0" w:space="0" w:color="auto"/>
        <w:right w:val="none" w:sz="0" w:space="0" w:color="auto"/>
      </w:divBdr>
    </w:div>
    <w:div w:id="887180623">
      <w:bodyDiv w:val="1"/>
      <w:marLeft w:val="0"/>
      <w:marRight w:val="0"/>
      <w:marTop w:val="0"/>
      <w:marBottom w:val="0"/>
      <w:divBdr>
        <w:top w:val="none" w:sz="0" w:space="0" w:color="auto"/>
        <w:left w:val="none" w:sz="0" w:space="0" w:color="auto"/>
        <w:bottom w:val="none" w:sz="0" w:space="0" w:color="auto"/>
        <w:right w:val="none" w:sz="0" w:space="0" w:color="auto"/>
      </w:divBdr>
    </w:div>
    <w:div w:id="893810270">
      <w:bodyDiv w:val="1"/>
      <w:marLeft w:val="0"/>
      <w:marRight w:val="0"/>
      <w:marTop w:val="0"/>
      <w:marBottom w:val="0"/>
      <w:divBdr>
        <w:top w:val="none" w:sz="0" w:space="0" w:color="auto"/>
        <w:left w:val="none" w:sz="0" w:space="0" w:color="auto"/>
        <w:bottom w:val="none" w:sz="0" w:space="0" w:color="auto"/>
        <w:right w:val="none" w:sz="0" w:space="0" w:color="auto"/>
      </w:divBdr>
    </w:div>
    <w:div w:id="903222171">
      <w:bodyDiv w:val="1"/>
      <w:marLeft w:val="0"/>
      <w:marRight w:val="0"/>
      <w:marTop w:val="0"/>
      <w:marBottom w:val="0"/>
      <w:divBdr>
        <w:top w:val="none" w:sz="0" w:space="0" w:color="auto"/>
        <w:left w:val="none" w:sz="0" w:space="0" w:color="auto"/>
        <w:bottom w:val="none" w:sz="0" w:space="0" w:color="auto"/>
        <w:right w:val="none" w:sz="0" w:space="0" w:color="auto"/>
      </w:divBdr>
    </w:div>
    <w:div w:id="908492325">
      <w:bodyDiv w:val="1"/>
      <w:marLeft w:val="0"/>
      <w:marRight w:val="0"/>
      <w:marTop w:val="0"/>
      <w:marBottom w:val="0"/>
      <w:divBdr>
        <w:top w:val="none" w:sz="0" w:space="0" w:color="auto"/>
        <w:left w:val="none" w:sz="0" w:space="0" w:color="auto"/>
        <w:bottom w:val="none" w:sz="0" w:space="0" w:color="auto"/>
        <w:right w:val="none" w:sz="0" w:space="0" w:color="auto"/>
      </w:divBdr>
    </w:div>
    <w:div w:id="913012200">
      <w:bodyDiv w:val="1"/>
      <w:marLeft w:val="0"/>
      <w:marRight w:val="0"/>
      <w:marTop w:val="0"/>
      <w:marBottom w:val="0"/>
      <w:divBdr>
        <w:top w:val="none" w:sz="0" w:space="0" w:color="auto"/>
        <w:left w:val="none" w:sz="0" w:space="0" w:color="auto"/>
        <w:bottom w:val="none" w:sz="0" w:space="0" w:color="auto"/>
        <w:right w:val="none" w:sz="0" w:space="0" w:color="auto"/>
      </w:divBdr>
    </w:div>
    <w:div w:id="919563828">
      <w:bodyDiv w:val="1"/>
      <w:marLeft w:val="0"/>
      <w:marRight w:val="0"/>
      <w:marTop w:val="0"/>
      <w:marBottom w:val="0"/>
      <w:divBdr>
        <w:top w:val="none" w:sz="0" w:space="0" w:color="auto"/>
        <w:left w:val="none" w:sz="0" w:space="0" w:color="auto"/>
        <w:bottom w:val="none" w:sz="0" w:space="0" w:color="auto"/>
        <w:right w:val="none" w:sz="0" w:space="0" w:color="auto"/>
      </w:divBdr>
    </w:div>
    <w:div w:id="934439439">
      <w:bodyDiv w:val="1"/>
      <w:marLeft w:val="0"/>
      <w:marRight w:val="0"/>
      <w:marTop w:val="0"/>
      <w:marBottom w:val="0"/>
      <w:divBdr>
        <w:top w:val="none" w:sz="0" w:space="0" w:color="auto"/>
        <w:left w:val="none" w:sz="0" w:space="0" w:color="auto"/>
        <w:bottom w:val="none" w:sz="0" w:space="0" w:color="auto"/>
        <w:right w:val="none" w:sz="0" w:space="0" w:color="auto"/>
      </w:divBdr>
    </w:div>
    <w:div w:id="934897368">
      <w:bodyDiv w:val="1"/>
      <w:marLeft w:val="0"/>
      <w:marRight w:val="0"/>
      <w:marTop w:val="0"/>
      <w:marBottom w:val="0"/>
      <w:divBdr>
        <w:top w:val="none" w:sz="0" w:space="0" w:color="auto"/>
        <w:left w:val="none" w:sz="0" w:space="0" w:color="auto"/>
        <w:bottom w:val="none" w:sz="0" w:space="0" w:color="auto"/>
        <w:right w:val="none" w:sz="0" w:space="0" w:color="auto"/>
      </w:divBdr>
    </w:div>
    <w:div w:id="936132452">
      <w:bodyDiv w:val="1"/>
      <w:marLeft w:val="0"/>
      <w:marRight w:val="0"/>
      <w:marTop w:val="0"/>
      <w:marBottom w:val="0"/>
      <w:divBdr>
        <w:top w:val="none" w:sz="0" w:space="0" w:color="auto"/>
        <w:left w:val="none" w:sz="0" w:space="0" w:color="auto"/>
        <w:bottom w:val="none" w:sz="0" w:space="0" w:color="auto"/>
        <w:right w:val="none" w:sz="0" w:space="0" w:color="auto"/>
      </w:divBdr>
    </w:div>
    <w:div w:id="936670073">
      <w:bodyDiv w:val="1"/>
      <w:marLeft w:val="0"/>
      <w:marRight w:val="0"/>
      <w:marTop w:val="0"/>
      <w:marBottom w:val="0"/>
      <w:divBdr>
        <w:top w:val="none" w:sz="0" w:space="0" w:color="auto"/>
        <w:left w:val="none" w:sz="0" w:space="0" w:color="auto"/>
        <w:bottom w:val="none" w:sz="0" w:space="0" w:color="auto"/>
        <w:right w:val="none" w:sz="0" w:space="0" w:color="auto"/>
      </w:divBdr>
    </w:div>
    <w:div w:id="945116251">
      <w:bodyDiv w:val="1"/>
      <w:marLeft w:val="0"/>
      <w:marRight w:val="0"/>
      <w:marTop w:val="0"/>
      <w:marBottom w:val="0"/>
      <w:divBdr>
        <w:top w:val="none" w:sz="0" w:space="0" w:color="auto"/>
        <w:left w:val="none" w:sz="0" w:space="0" w:color="auto"/>
        <w:bottom w:val="none" w:sz="0" w:space="0" w:color="auto"/>
        <w:right w:val="none" w:sz="0" w:space="0" w:color="auto"/>
      </w:divBdr>
    </w:div>
    <w:div w:id="978998809">
      <w:bodyDiv w:val="1"/>
      <w:marLeft w:val="0"/>
      <w:marRight w:val="0"/>
      <w:marTop w:val="0"/>
      <w:marBottom w:val="0"/>
      <w:divBdr>
        <w:top w:val="none" w:sz="0" w:space="0" w:color="auto"/>
        <w:left w:val="none" w:sz="0" w:space="0" w:color="auto"/>
        <w:bottom w:val="none" w:sz="0" w:space="0" w:color="auto"/>
        <w:right w:val="none" w:sz="0" w:space="0" w:color="auto"/>
      </w:divBdr>
    </w:div>
    <w:div w:id="994919382">
      <w:bodyDiv w:val="1"/>
      <w:marLeft w:val="0"/>
      <w:marRight w:val="0"/>
      <w:marTop w:val="0"/>
      <w:marBottom w:val="0"/>
      <w:divBdr>
        <w:top w:val="none" w:sz="0" w:space="0" w:color="auto"/>
        <w:left w:val="none" w:sz="0" w:space="0" w:color="auto"/>
        <w:bottom w:val="none" w:sz="0" w:space="0" w:color="auto"/>
        <w:right w:val="none" w:sz="0" w:space="0" w:color="auto"/>
      </w:divBdr>
    </w:div>
    <w:div w:id="995692863">
      <w:bodyDiv w:val="1"/>
      <w:marLeft w:val="0"/>
      <w:marRight w:val="0"/>
      <w:marTop w:val="0"/>
      <w:marBottom w:val="0"/>
      <w:divBdr>
        <w:top w:val="none" w:sz="0" w:space="0" w:color="auto"/>
        <w:left w:val="none" w:sz="0" w:space="0" w:color="auto"/>
        <w:bottom w:val="none" w:sz="0" w:space="0" w:color="auto"/>
        <w:right w:val="none" w:sz="0" w:space="0" w:color="auto"/>
      </w:divBdr>
    </w:div>
    <w:div w:id="996107794">
      <w:bodyDiv w:val="1"/>
      <w:marLeft w:val="0"/>
      <w:marRight w:val="0"/>
      <w:marTop w:val="0"/>
      <w:marBottom w:val="0"/>
      <w:divBdr>
        <w:top w:val="none" w:sz="0" w:space="0" w:color="auto"/>
        <w:left w:val="none" w:sz="0" w:space="0" w:color="auto"/>
        <w:bottom w:val="none" w:sz="0" w:space="0" w:color="auto"/>
        <w:right w:val="none" w:sz="0" w:space="0" w:color="auto"/>
      </w:divBdr>
    </w:div>
    <w:div w:id="1001422421">
      <w:bodyDiv w:val="1"/>
      <w:marLeft w:val="0"/>
      <w:marRight w:val="0"/>
      <w:marTop w:val="0"/>
      <w:marBottom w:val="0"/>
      <w:divBdr>
        <w:top w:val="none" w:sz="0" w:space="0" w:color="auto"/>
        <w:left w:val="none" w:sz="0" w:space="0" w:color="auto"/>
        <w:bottom w:val="none" w:sz="0" w:space="0" w:color="auto"/>
        <w:right w:val="none" w:sz="0" w:space="0" w:color="auto"/>
      </w:divBdr>
    </w:div>
    <w:div w:id="1034504116">
      <w:bodyDiv w:val="1"/>
      <w:marLeft w:val="0"/>
      <w:marRight w:val="0"/>
      <w:marTop w:val="0"/>
      <w:marBottom w:val="0"/>
      <w:divBdr>
        <w:top w:val="none" w:sz="0" w:space="0" w:color="auto"/>
        <w:left w:val="none" w:sz="0" w:space="0" w:color="auto"/>
        <w:bottom w:val="none" w:sz="0" w:space="0" w:color="auto"/>
        <w:right w:val="none" w:sz="0" w:space="0" w:color="auto"/>
      </w:divBdr>
    </w:div>
    <w:div w:id="1042680639">
      <w:bodyDiv w:val="1"/>
      <w:marLeft w:val="0"/>
      <w:marRight w:val="0"/>
      <w:marTop w:val="0"/>
      <w:marBottom w:val="0"/>
      <w:divBdr>
        <w:top w:val="none" w:sz="0" w:space="0" w:color="auto"/>
        <w:left w:val="none" w:sz="0" w:space="0" w:color="auto"/>
        <w:bottom w:val="none" w:sz="0" w:space="0" w:color="auto"/>
        <w:right w:val="none" w:sz="0" w:space="0" w:color="auto"/>
      </w:divBdr>
    </w:div>
    <w:div w:id="1069038011">
      <w:bodyDiv w:val="1"/>
      <w:marLeft w:val="0"/>
      <w:marRight w:val="0"/>
      <w:marTop w:val="0"/>
      <w:marBottom w:val="0"/>
      <w:divBdr>
        <w:top w:val="none" w:sz="0" w:space="0" w:color="auto"/>
        <w:left w:val="none" w:sz="0" w:space="0" w:color="auto"/>
        <w:bottom w:val="none" w:sz="0" w:space="0" w:color="auto"/>
        <w:right w:val="none" w:sz="0" w:space="0" w:color="auto"/>
      </w:divBdr>
    </w:div>
    <w:div w:id="1107122487">
      <w:bodyDiv w:val="1"/>
      <w:marLeft w:val="0"/>
      <w:marRight w:val="0"/>
      <w:marTop w:val="0"/>
      <w:marBottom w:val="0"/>
      <w:divBdr>
        <w:top w:val="none" w:sz="0" w:space="0" w:color="auto"/>
        <w:left w:val="none" w:sz="0" w:space="0" w:color="auto"/>
        <w:bottom w:val="none" w:sz="0" w:space="0" w:color="auto"/>
        <w:right w:val="none" w:sz="0" w:space="0" w:color="auto"/>
      </w:divBdr>
    </w:div>
    <w:div w:id="1107429072">
      <w:bodyDiv w:val="1"/>
      <w:marLeft w:val="0"/>
      <w:marRight w:val="0"/>
      <w:marTop w:val="0"/>
      <w:marBottom w:val="0"/>
      <w:divBdr>
        <w:top w:val="none" w:sz="0" w:space="0" w:color="auto"/>
        <w:left w:val="none" w:sz="0" w:space="0" w:color="auto"/>
        <w:bottom w:val="none" w:sz="0" w:space="0" w:color="auto"/>
        <w:right w:val="none" w:sz="0" w:space="0" w:color="auto"/>
      </w:divBdr>
    </w:div>
    <w:div w:id="1114983377">
      <w:bodyDiv w:val="1"/>
      <w:marLeft w:val="0"/>
      <w:marRight w:val="0"/>
      <w:marTop w:val="0"/>
      <w:marBottom w:val="0"/>
      <w:divBdr>
        <w:top w:val="none" w:sz="0" w:space="0" w:color="auto"/>
        <w:left w:val="none" w:sz="0" w:space="0" w:color="auto"/>
        <w:bottom w:val="none" w:sz="0" w:space="0" w:color="auto"/>
        <w:right w:val="none" w:sz="0" w:space="0" w:color="auto"/>
      </w:divBdr>
    </w:div>
    <w:div w:id="1118380210">
      <w:bodyDiv w:val="1"/>
      <w:marLeft w:val="0"/>
      <w:marRight w:val="0"/>
      <w:marTop w:val="0"/>
      <w:marBottom w:val="0"/>
      <w:divBdr>
        <w:top w:val="none" w:sz="0" w:space="0" w:color="auto"/>
        <w:left w:val="none" w:sz="0" w:space="0" w:color="auto"/>
        <w:bottom w:val="none" w:sz="0" w:space="0" w:color="auto"/>
        <w:right w:val="none" w:sz="0" w:space="0" w:color="auto"/>
      </w:divBdr>
    </w:div>
    <w:div w:id="1123228195">
      <w:bodyDiv w:val="1"/>
      <w:marLeft w:val="0"/>
      <w:marRight w:val="0"/>
      <w:marTop w:val="0"/>
      <w:marBottom w:val="0"/>
      <w:divBdr>
        <w:top w:val="none" w:sz="0" w:space="0" w:color="auto"/>
        <w:left w:val="none" w:sz="0" w:space="0" w:color="auto"/>
        <w:bottom w:val="none" w:sz="0" w:space="0" w:color="auto"/>
        <w:right w:val="none" w:sz="0" w:space="0" w:color="auto"/>
      </w:divBdr>
    </w:div>
    <w:div w:id="1141311614">
      <w:bodyDiv w:val="1"/>
      <w:marLeft w:val="0"/>
      <w:marRight w:val="0"/>
      <w:marTop w:val="0"/>
      <w:marBottom w:val="0"/>
      <w:divBdr>
        <w:top w:val="none" w:sz="0" w:space="0" w:color="auto"/>
        <w:left w:val="none" w:sz="0" w:space="0" w:color="auto"/>
        <w:bottom w:val="none" w:sz="0" w:space="0" w:color="auto"/>
        <w:right w:val="none" w:sz="0" w:space="0" w:color="auto"/>
      </w:divBdr>
    </w:div>
    <w:div w:id="1141724759">
      <w:bodyDiv w:val="1"/>
      <w:marLeft w:val="0"/>
      <w:marRight w:val="0"/>
      <w:marTop w:val="0"/>
      <w:marBottom w:val="0"/>
      <w:divBdr>
        <w:top w:val="none" w:sz="0" w:space="0" w:color="auto"/>
        <w:left w:val="none" w:sz="0" w:space="0" w:color="auto"/>
        <w:bottom w:val="none" w:sz="0" w:space="0" w:color="auto"/>
        <w:right w:val="none" w:sz="0" w:space="0" w:color="auto"/>
      </w:divBdr>
    </w:div>
    <w:div w:id="1151210907">
      <w:bodyDiv w:val="1"/>
      <w:marLeft w:val="0"/>
      <w:marRight w:val="0"/>
      <w:marTop w:val="0"/>
      <w:marBottom w:val="0"/>
      <w:divBdr>
        <w:top w:val="none" w:sz="0" w:space="0" w:color="auto"/>
        <w:left w:val="none" w:sz="0" w:space="0" w:color="auto"/>
        <w:bottom w:val="none" w:sz="0" w:space="0" w:color="auto"/>
        <w:right w:val="none" w:sz="0" w:space="0" w:color="auto"/>
      </w:divBdr>
      <w:divsChild>
        <w:div w:id="1779986033">
          <w:marLeft w:val="1166"/>
          <w:marRight w:val="0"/>
          <w:marTop w:val="96"/>
          <w:marBottom w:val="0"/>
          <w:divBdr>
            <w:top w:val="none" w:sz="0" w:space="0" w:color="auto"/>
            <w:left w:val="none" w:sz="0" w:space="0" w:color="auto"/>
            <w:bottom w:val="none" w:sz="0" w:space="0" w:color="auto"/>
            <w:right w:val="none" w:sz="0" w:space="0" w:color="auto"/>
          </w:divBdr>
        </w:div>
        <w:div w:id="46148952">
          <w:marLeft w:val="1166"/>
          <w:marRight w:val="0"/>
          <w:marTop w:val="96"/>
          <w:marBottom w:val="0"/>
          <w:divBdr>
            <w:top w:val="none" w:sz="0" w:space="0" w:color="auto"/>
            <w:left w:val="none" w:sz="0" w:space="0" w:color="auto"/>
            <w:bottom w:val="none" w:sz="0" w:space="0" w:color="auto"/>
            <w:right w:val="none" w:sz="0" w:space="0" w:color="auto"/>
          </w:divBdr>
        </w:div>
        <w:div w:id="540478557">
          <w:marLeft w:val="1166"/>
          <w:marRight w:val="0"/>
          <w:marTop w:val="96"/>
          <w:marBottom w:val="0"/>
          <w:divBdr>
            <w:top w:val="none" w:sz="0" w:space="0" w:color="auto"/>
            <w:left w:val="none" w:sz="0" w:space="0" w:color="auto"/>
            <w:bottom w:val="none" w:sz="0" w:space="0" w:color="auto"/>
            <w:right w:val="none" w:sz="0" w:space="0" w:color="auto"/>
          </w:divBdr>
        </w:div>
        <w:div w:id="1990093435">
          <w:marLeft w:val="1166"/>
          <w:marRight w:val="0"/>
          <w:marTop w:val="96"/>
          <w:marBottom w:val="0"/>
          <w:divBdr>
            <w:top w:val="none" w:sz="0" w:space="0" w:color="auto"/>
            <w:left w:val="none" w:sz="0" w:space="0" w:color="auto"/>
            <w:bottom w:val="none" w:sz="0" w:space="0" w:color="auto"/>
            <w:right w:val="none" w:sz="0" w:space="0" w:color="auto"/>
          </w:divBdr>
        </w:div>
        <w:div w:id="677998593">
          <w:marLeft w:val="1166"/>
          <w:marRight w:val="0"/>
          <w:marTop w:val="96"/>
          <w:marBottom w:val="0"/>
          <w:divBdr>
            <w:top w:val="none" w:sz="0" w:space="0" w:color="auto"/>
            <w:left w:val="none" w:sz="0" w:space="0" w:color="auto"/>
            <w:bottom w:val="none" w:sz="0" w:space="0" w:color="auto"/>
            <w:right w:val="none" w:sz="0" w:space="0" w:color="auto"/>
          </w:divBdr>
        </w:div>
        <w:div w:id="843323714">
          <w:marLeft w:val="1166"/>
          <w:marRight w:val="0"/>
          <w:marTop w:val="96"/>
          <w:marBottom w:val="0"/>
          <w:divBdr>
            <w:top w:val="none" w:sz="0" w:space="0" w:color="auto"/>
            <w:left w:val="none" w:sz="0" w:space="0" w:color="auto"/>
            <w:bottom w:val="none" w:sz="0" w:space="0" w:color="auto"/>
            <w:right w:val="none" w:sz="0" w:space="0" w:color="auto"/>
          </w:divBdr>
        </w:div>
        <w:div w:id="982193926">
          <w:marLeft w:val="1166"/>
          <w:marRight w:val="0"/>
          <w:marTop w:val="96"/>
          <w:marBottom w:val="0"/>
          <w:divBdr>
            <w:top w:val="none" w:sz="0" w:space="0" w:color="auto"/>
            <w:left w:val="none" w:sz="0" w:space="0" w:color="auto"/>
            <w:bottom w:val="none" w:sz="0" w:space="0" w:color="auto"/>
            <w:right w:val="none" w:sz="0" w:space="0" w:color="auto"/>
          </w:divBdr>
        </w:div>
        <w:div w:id="369109022">
          <w:marLeft w:val="1166"/>
          <w:marRight w:val="0"/>
          <w:marTop w:val="96"/>
          <w:marBottom w:val="0"/>
          <w:divBdr>
            <w:top w:val="none" w:sz="0" w:space="0" w:color="auto"/>
            <w:left w:val="none" w:sz="0" w:space="0" w:color="auto"/>
            <w:bottom w:val="none" w:sz="0" w:space="0" w:color="auto"/>
            <w:right w:val="none" w:sz="0" w:space="0" w:color="auto"/>
          </w:divBdr>
        </w:div>
        <w:div w:id="1599215186">
          <w:marLeft w:val="1166"/>
          <w:marRight w:val="0"/>
          <w:marTop w:val="96"/>
          <w:marBottom w:val="0"/>
          <w:divBdr>
            <w:top w:val="none" w:sz="0" w:space="0" w:color="auto"/>
            <w:left w:val="none" w:sz="0" w:space="0" w:color="auto"/>
            <w:bottom w:val="none" w:sz="0" w:space="0" w:color="auto"/>
            <w:right w:val="none" w:sz="0" w:space="0" w:color="auto"/>
          </w:divBdr>
        </w:div>
        <w:div w:id="625740999">
          <w:marLeft w:val="1166"/>
          <w:marRight w:val="0"/>
          <w:marTop w:val="96"/>
          <w:marBottom w:val="0"/>
          <w:divBdr>
            <w:top w:val="none" w:sz="0" w:space="0" w:color="auto"/>
            <w:left w:val="none" w:sz="0" w:space="0" w:color="auto"/>
            <w:bottom w:val="none" w:sz="0" w:space="0" w:color="auto"/>
            <w:right w:val="none" w:sz="0" w:space="0" w:color="auto"/>
          </w:divBdr>
        </w:div>
        <w:div w:id="154300856">
          <w:marLeft w:val="1166"/>
          <w:marRight w:val="0"/>
          <w:marTop w:val="96"/>
          <w:marBottom w:val="0"/>
          <w:divBdr>
            <w:top w:val="none" w:sz="0" w:space="0" w:color="auto"/>
            <w:left w:val="none" w:sz="0" w:space="0" w:color="auto"/>
            <w:bottom w:val="none" w:sz="0" w:space="0" w:color="auto"/>
            <w:right w:val="none" w:sz="0" w:space="0" w:color="auto"/>
          </w:divBdr>
        </w:div>
      </w:divsChild>
    </w:div>
    <w:div w:id="1157501873">
      <w:bodyDiv w:val="1"/>
      <w:marLeft w:val="0"/>
      <w:marRight w:val="0"/>
      <w:marTop w:val="0"/>
      <w:marBottom w:val="0"/>
      <w:divBdr>
        <w:top w:val="none" w:sz="0" w:space="0" w:color="auto"/>
        <w:left w:val="none" w:sz="0" w:space="0" w:color="auto"/>
        <w:bottom w:val="none" w:sz="0" w:space="0" w:color="auto"/>
        <w:right w:val="none" w:sz="0" w:space="0" w:color="auto"/>
      </w:divBdr>
    </w:div>
    <w:div w:id="1174802223">
      <w:bodyDiv w:val="1"/>
      <w:marLeft w:val="0"/>
      <w:marRight w:val="0"/>
      <w:marTop w:val="0"/>
      <w:marBottom w:val="0"/>
      <w:divBdr>
        <w:top w:val="none" w:sz="0" w:space="0" w:color="auto"/>
        <w:left w:val="none" w:sz="0" w:space="0" w:color="auto"/>
        <w:bottom w:val="none" w:sz="0" w:space="0" w:color="auto"/>
        <w:right w:val="none" w:sz="0" w:space="0" w:color="auto"/>
      </w:divBdr>
    </w:div>
    <w:div w:id="1186752092">
      <w:bodyDiv w:val="1"/>
      <w:marLeft w:val="0"/>
      <w:marRight w:val="0"/>
      <w:marTop w:val="0"/>
      <w:marBottom w:val="0"/>
      <w:divBdr>
        <w:top w:val="none" w:sz="0" w:space="0" w:color="auto"/>
        <w:left w:val="none" w:sz="0" w:space="0" w:color="auto"/>
        <w:bottom w:val="none" w:sz="0" w:space="0" w:color="auto"/>
        <w:right w:val="none" w:sz="0" w:space="0" w:color="auto"/>
      </w:divBdr>
    </w:div>
    <w:div w:id="1199245963">
      <w:bodyDiv w:val="1"/>
      <w:marLeft w:val="0"/>
      <w:marRight w:val="0"/>
      <w:marTop w:val="0"/>
      <w:marBottom w:val="0"/>
      <w:divBdr>
        <w:top w:val="none" w:sz="0" w:space="0" w:color="auto"/>
        <w:left w:val="none" w:sz="0" w:space="0" w:color="auto"/>
        <w:bottom w:val="none" w:sz="0" w:space="0" w:color="auto"/>
        <w:right w:val="none" w:sz="0" w:space="0" w:color="auto"/>
      </w:divBdr>
    </w:div>
    <w:div w:id="1205144744">
      <w:bodyDiv w:val="1"/>
      <w:marLeft w:val="0"/>
      <w:marRight w:val="0"/>
      <w:marTop w:val="0"/>
      <w:marBottom w:val="0"/>
      <w:divBdr>
        <w:top w:val="none" w:sz="0" w:space="0" w:color="auto"/>
        <w:left w:val="none" w:sz="0" w:space="0" w:color="auto"/>
        <w:bottom w:val="none" w:sz="0" w:space="0" w:color="auto"/>
        <w:right w:val="none" w:sz="0" w:space="0" w:color="auto"/>
      </w:divBdr>
    </w:div>
    <w:div w:id="1226768756">
      <w:bodyDiv w:val="1"/>
      <w:marLeft w:val="0"/>
      <w:marRight w:val="0"/>
      <w:marTop w:val="0"/>
      <w:marBottom w:val="0"/>
      <w:divBdr>
        <w:top w:val="none" w:sz="0" w:space="0" w:color="auto"/>
        <w:left w:val="none" w:sz="0" w:space="0" w:color="auto"/>
        <w:bottom w:val="none" w:sz="0" w:space="0" w:color="auto"/>
        <w:right w:val="none" w:sz="0" w:space="0" w:color="auto"/>
      </w:divBdr>
    </w:div>
    <w:div w:id="1228759582">
      <w:bodyDiv w:val="1"/>
      <w:marLeft w:val="0"/>
      <w:marRight w:val="0"/>
      <w:marTop w:val="0"/>
      <w:marBottom w:val="0"/>
      <w:divBdr>
        <w:top w:val="none" w:sz="0" w:space="0" w:color="auto"/>
        <w:left w:val="none" w:sz="0" w:space="0" w:color="auto"/>
        <w:bottom w:val="none" w:sz="0" w:space="0" w:color="auto"/>
        <w:right w:val="none" w:sz="0" w:space="0" w:color="auto"/>
      </w:divBdr>
    </w:div>
    <w:div w:id="1243879642">
      <w:bodyDiv w:val="1"/>
      <w:marLeft w:val="0"/>
      <w:marRight w:val="0"/>
      <w:marTop w:val="0"/>
      <w:marBottom w:val="0"/>
      <w:divBdr>
        <w:top w:val="none" w:sz="0" w:space="0" w:color="auto"/>
        <w:left w:val="none" w:sz="0" w:space="0" w:color="auto"/>
        <w:bottom w:val="none" w:sz="0" w:space="0" w:color="auto"/>
        <w:right w:val="none" w:sz="0" w:space="0" w:color="auto"/>
      </w:divBdr>
    </w:div>
    <w:div w:id="1245065751">
      <w:bodyDiv w:val="1"/>
      <w:marLeft w:val="0"/>
      <w:marRight w:val="0"/>
      <w:marTop w:val="0"/>
      <w:marBottom w:val="0"/>
      <w:divBdr>
        <w:top w:val="none" w:sz="0" w:space="0" w:color="auto"/>
        <w:left w:val="none" w:sz="0" w:space="0" w:color="auto"/>
        <w:bottom w:val="none" w:sz="0" w:space="0" w:color="auto"/>
        <w:right w:val="none" w:sz="0" w:space="0" w:color="auto"/>
      </w:divBdr>
    </w:div>
    <w:div w:id="1257709172">
      <w:bodyDiv w:val="1"/>
      <w:marLeft w:val="0"/>
      <w:marRight w:val="0"/>
      <w:marTop w:val="0"/>
      <w:marBottom w:val="0"/>
      <w:divBdr>
        <w:top w:val="none" w:sz="0" w:space="0" w:color="auto"/>
        <w:left w:val="none" w:sz="0" w:space="0" w:color="auto"/>
        <w:bottom w:val="none" w:sz="0" w:space="0" w:color="auto"/>
        <w:right w:val="none" w:sz="0" w:space="0" w:color="auto"/>
      </w:divBdr>
    </w:div>
    <w:div w:id="1266814935">
      <w:bodyDiv w:val="1"/>
      <w:marLeft w:val="0"/>
      <w:marRight w:val="0"/>
      <w:marTop w:val="0"/>
      <w:marBottom w:val="0"/>
      <w:divBdr>
        <w:top w:val="none" w:sz="0" w:space="0" w:color="auto"/>
        <w:left w:val="none" w:sz="0" w:space="0" w:color="auto"/>
        <w:bottom w:val="none" w:sz="0" w:space="0" w:color="auto"/>
        <w:right w:val="none" w:sz="0" w:space="0" w:color="auto"/>
      </w:divBdr>
    </w:div>
    <w:div w:id="1268587921">
      <w:bodyDiv w:val="1"/>
      <w:marLeft w:val="0"/>
      <w:marRight w:val="0"/>
      <w:marTop w:val="0"/>
      <w:marBottom w:val="0"/>
      <w:divBdr>
        <w:top w:val="none" w:sz="0" w:space="0" w:color="auto"/>
        <w:left w:val="none" w:sz="0" w:space="0" w:color="auto"/>
        <w:bottom w:val="none" w:sz="0" w:space="0" w:color="auto"/>
        <w:right w:val="none" w:sz="0" w:space="0" w:color="auto"/>
      </w:divBdr>
    </w:div>
    <w:div w:id="1311865639">
      <w:bodyDiv w:val="1"/>
      <w:marLeft w:val="0"/>
      <w:marRight w:val="0"/>
      <w:marTop w:val="0"/>
      <w:marBottom w:val="0"/>
      <w:divBdr>
        <w:top w:val="none" w:sz="0" w:space="0" w:color="auto"/>
        <w:left w:val="none" w:sz="0" w:space="0" w:color="auto"/>
        <w:bottom w:val="none" w:sz="0" w:space="0" w:color="auto"/>
        <w:right w:val="none" w:sz="0" w:space="0" w:color="auto"/>
      </w:divBdr>
    </w:div>
    <w:div w:id="1312490109">
      <w:bodyDiv w:val="1"/>
      <w:marLeft w:val="0"/>
      <w:marRight w:val="0"/>
      <w:marTop w:val="0"/>
      <w:marBottom w:val="0"/>
      <w:divBdr>
        <w:top w:val="none" w:sz="0" w:space="0" w:color="auto"/>
        <w:left w:val="none" w:sz="0" w:space="0" w:color="auto"/>
        <w:bottom w:val="none" w:sz="0" w:space="0" w:color="auto"/>
        <w:right w:val="none" w:sz="0" w:space="0" w:color="auto"/>
      </w:divBdr>
    </w:div>
    <w:div w:id="1347750240">
      <w:bodyDiv w:val="1"/>
      <w:marLeft w:val="0"/>
      <w:marRight w:val="0"/>
      <w:marTop w:val="0"/>
      <w:marBottom w:val="0"/>
      <w:divBdr>
        <w:top w:val="none" w:sz="0" w:space="0" w:color="auto"/>
        <w:left w:val="none" w:sz="0" w:space="0" w:color="auto"/>
        <w:bottom w:val="none" w:sz="0" w:space="0" w:color="auto"/>
        <w:right w:val="none" w:sz="0" w:space="0" w:color="auto"/>
      </w:divBdr>
    </w:div>
    <w:div w:id="1356810792">
      <w:bodyDiv w:val="1"/>
      <w:marLeft w:val="0"/>
      <w:marRight w:val="0"/>
      <w:marTop w:val="0"/>
      <w:marBottom w:val="0"/>
      <w:divBdr>
        <w:top w:val="none" w:sz="0" w:space="0" w:color="auto"/>
        <w:left w:val="none" w:sz="0" w:space="0" w:color="auto"/>
        <w:bottom w:val="none" w:sz="0" w:space="0" w:color="auto"/>
        <w:right w:val="none" w:sz="0" w:space="0" w:color="auto"/>
      </w:divBdr>
    </w:div>
    <w:div w:id="1375999996">
      <w:bodyDiv w:val="1"/>
      <w:marLeft w:val="0"/>
      <w:marRight w:val="0"/>
      <w:marTop w:val="0"/>
      <w:marBottom w:val="0"/>
      <w:divBdr>
        <w:top w:val="none" w:sz="0" w:space="0" w:color="auto"/>
        <w:left w:val="none" w:sz="0" w:space="0" w:color="auto"/>
        <w:bottom w:val="none" w:sz="0" w:space="0" w:color="auto"/>
        <w:right w:val="none" w:sz="0" w:space="0" w:color="auto"/>
      </w:divBdr>
    </w:div>
    <w:div w:id="1377117352">
      <w:bodyDiv w:val="1"/>
      <w:marLeft w:val="0"/>
      <w:marRight w:val="0"/>
      <w:marTop w:val="0"/>
      <w:marBottom w:val="0"/>
      <w:divBdr>
        <w:top w:val="none" w:sz="0" w:space="0" w:color="auto"/>
        <w:left w:val="none" w:sz="0" w:space="0" w:color="auto"/>
        <w:bottom w:val="none" w:sz="0" w:space="0" w:color="auto"/>
        <w:right w:val="none" w:sz="0" w:space="0" w:color="auto"/>
      </w:divBdr>
    </w:div>
    <w:div w:id="1389063977">
      <w:bodyDiv w:val="1"/>
      <w:marLeft w:val="0"/>
      <w:marRight w:val="0"/>
      <w:marTop w:val="0"/>
      <w:marBottom w:val="0"/>
      <w:divBdr>
        <w:top w:val="none" w:sz="0" w:space="0" w:color="auto"/>
        <w:left w:val="none" w:sz="0" w:space="0" w:color="auto"/>
        <w:bottom w:val="none" w:sz="0" w:space="0" w:color="auto"/>
        <w:right w:val="none" w:sz="0" w:space="0" w:color="auto"/>
      </w:divBdr>
    </w:div>
    <w:div w:id="1399210644">
      <w:bodyDiv w:val="1"/>
      <w:marLeft w:val="0"/>
      <w:marRight w:val="0"/>
      <w:marTop w:val="0"/>
      <w:marBottom w:val="0"/>
      <w:divBdr>
        <w:top w:val="none" w:sz="0" w:space="0" w:color="auto"/>
        <w:left w:val="none" w:sz="0" w:space="0" w:color="auto"/>
        <w:bottom w:val="none" w:sz="0" w:space="0" w:color="auto"/>
        <w:right w:val="none" w:sz="0" w:space="0" w:color="auto"/>
      </w:divBdr>
    </w:div>
    <w:div w:id="1406493202">
      <w:bodyDiv w:val="1"/>
      <w:marLeft w:val="0"/>
      <w:marRight w:val="0"/>
      <w:marTop w:val="0"/>
      <w:marBottom w:val="0"/>
      <w:divBdr>
        <w:top w:val="none" w:sz="0" w:space="0" w:color="auto"/>
        <w:left w:val="none" w:sz="0" w:space="0" w:color="auto"/>
        <w:bottom w:val="none" w:sz="0" w:space="0" w:color="auto"/>
        <w:right w:val="none" w:sz="0" w:space="0" w:color="auto"/>
      </w:divBdr>
    </w:div>
    <w:div w:id="1410037804">
      <w:bodyDiv w:val="1"/>
      <w:marLeft w:val="0"/>
      <w:marRight w:val="0"/>
      <w:marTop w:val="0"/>
      <w:marBottom w:val="0"/>
      <w:divBdr>
        <w:top w:val="none" w:sz="0" w:space="0" w:color="auto"/>
        <w:left w:val="none" w:sz="0" w:space="0" w:color="auto"/>
        <w:bottom w:val="none" w:sz="0" w:space="0" w:color="auto"/>
        <w:right w:val="none" w:sz="0" w:space="0" w:color="auto"/>
      </w:divBdr>
    </w:div>
    <w:div w:id="1417634900">
      <w:bodyDiv w:val="1"/>
      <w:marLeft w:val="0"/>
      <w:marRight w:val="0"/>
      <w:marTop w:val="0"/>
      <w:marBottom w:val="0"/>
      <w:divBdr>
        <w:top w:val="none" w:sz="0" w:space="0" w:color="auto"/>
        <w:left w:val="none" w:sz="0" w:space="0" w:color="auto"/>
        <w:bottom w:val="none" w:sz="0" w:space="0" w:color="auto"/>
        <w:right w:val="none" w:sz="0" w:space="0" w:color="auto"/>
      </w:divBdr>
    </w:div>
    <w:div w:id="1423799070">
      <w:bodyDiv w:val="1"/>
      <w:marLeft w:val="0"/>
      <w:marRight w:val="0"/>
      <w:marTop w:val="0"/>
      <w:marBottom w:val="0"/>
      <w:divBdr>
        <w:top w:val="none" w:sz="0" w:space="0" w:color="auto"/>
        <w:left w:val="none" w:sz="0" w:space="0" w:color="auto"/>
        <w:bottom w:val="none" w:sz="0" w:space="0" w:color="auto"/>
        <w:right w:val="none" w:sz="0" w:space="0" w:color="auto"/>
      </w:divBdr>
    </w:div>
    <w:div w:id="1442383283">
      <w:bodyDiv w:val="1"/>
      <w:marLeft w:val="0"/>
      <w:marRight w:val="0"/>
      <w:marTop w:val="0"/>
      <w:marBottom w:val="0"/>
      <w:divBdr>
        <w:top w:val="none" w:sz="0" w:space="0" w:color="auto"/>
        <w:left w:val="none" w:sz="0" w:space="0" w:color="auto"/>
        <w:bottom w:val="none" w:sz="0" w:space="0" w:color="auto"/>
        <w:right w:val="none" w:sz="0" w:space="0" w:color="auto"/>
      </w:divBdr>
    </w:div>
    <w:div w:id="1471362043">
      <w:bodyDiv w:val="1"/>
      <w:marLeft w:val="0"/>
      <w:marRight w:val="0"/>
      <w:marTop w:val="0"/>
      <w:marBottom w:val="0"/>
      <w:divBdr>
        <w:top w:val="none" w:sz="0" w:space="0" w:color="auto"/>
        <w:left w:val="none" w:sz="0" w:space="0" w:color="auto"/>
        <w:bottom w:val="none" w:sz="0" w:space="0" w:color="auto"/>
        <w:right w:val="none" w:sz="0" w:space="0" w:color="auto"/>
      </w:divBdr>
    </w:div>
    <w:div w:id="1482112478">
      <w:bodyDiv w:val="1"/>
      <w:marLeft w:val="0"/>
      <w:marRight w:val="0"/>
      <w:marTop w:val="0"/>
      <w:marBottom w:val="0"/>
      <w:divBdr>
        <w:top w:val="none" w:sz="0" w:space="0" w:color="auto"/>
        <w:left w:val="none" w:sz="0" w:space="0" w:color="auto"/>
        <w:bottom w:val="none" w:sz="0" w:space="0" w:color="auto"/>
        <w:right w:val="none" w:sz="0" w:space="0" w:color="auto"/>
      </w:divBdr>
    </w:div>
    <w:div w:id="1505710172">
      <w:bodyDiv w:val="1"/>
      <w:marLeft w:val="0"/>
      <w:marRight w:val="0"/>
      <w:marTop w:val="0"/>
      <w:marBottom w:val="0"/>
      <w:divBdr>
        <w:top w:val="none" w:sz="0" w:space="0" w:color="auto"/>
        <w:left w:val="none" w:sz="0" w:space="0" w:color="auto"/>
        <w:bottom w:val="none" w:sz="0" w:space="0" w:color="auto"/>
        <w:right w:val="none" w:sz="0" w:space="0" w:color="auto"/>
      </w:divBdr>
    </w:div>
    <w:div w:id="1538541143">
      <w:bodyDiv w:val="1"/>
      <w:marLeft w:val="0"/>
      <w:marRight w:val="0"/>
      <w:marTop w:val="0"/>
      <w:marBottom w:val="0"/>
      <w:divBdr>
        <w:top w:val="none" w:sz="0" w:space="0" w:color="auto"/>
        <w:left w:val="none" w:sz="0" w:space="0" w:color="auto"/>
        <w:bottom w:val="none" w:sz="0" w:space="0" w:color="auto"/>
        <w:right w:val="none" w:sz="0" w:space="0" w:color="auto"/>
      </w:divBdr>
    </w:div>
    <w:div w:id="1545170259">
      <w:bodyDiv w:val="1"/>
      <w:marLeft w:val="0"/>
      <w:marRight w:val="0"/>
      <w:marTop w:val="0"/>
      <w:marBottom w:val="0"/>
      <w:divBdr>
        <w:top w:val="none" w:sz="0" w:space="0" w:color="auto"/>
        <w:left w:val="none" w:sz="0" w:space="0" w:color="auto"/>
        <w:bottom w:val="none" w:sz="0" w:space="0" w:color="auto"/>
        <w:right w:val="none" w:sz="0" w:space="0" w:color="auto"/>
      </w:divBdr>
    </w:div>
    <w:div w:id="1554540798">
      <w:bodyDiv w:val="1"/>
      <w:marLeft w:val="0"/>
      <w:marRight w:val="0"/>
      <w:marTop w:val="0"/>
      <w:marBottom w:val="0"/>
      <w:divBdr>
        <w:top w:val="none" w:sz="0" w:space="0" w:color="auto"/>
        <w:left w:val="none" w:sz="0" w:space="0" w:color="auto"/>
        <w:bottom w:val="none" w:sz="0" w:space="0" w:color="auto"/>
        <w:right w:val="none" w:sz="0" w:space="0" w:color="auto"/>
      </w:divBdr>
    </w:div>
    <w:div w:id="1565724971">
      <w:bodyDiv w:val="1"/>
      <w:marLeft w:val="0"/>
      <w:marRight w:val="0"/>
      <w:marTop w:val="0"/>
      <w:marBottom w:val="0"/>
      <w:divBdr>
        <w:top w:val="none" w:sz="0" w:space="0" w:color="auto"/>
        <w:left w:val="none" w:sz="0" w:space="0" w:color="auto"/>
        <w:bottom w:val="none" w:sz="0" w:space="0" w:color="auto"/>
        <w:right w:val="none" w:sz="0" w:space="0" w:color="auto"/>
      </w:divBdr>
    </w:div>
    <w:div w:id="1578828284">
      <w:bodyDiv w:val="1"/>
      <w:marLeft w:val="0"/>
      <w:marRight w:val="0"/>
      <w:marTop w:val="0"/>
      <w:marBottom w:val="0"/>
      <w:divBdr>
        <w:top w:val="none" w:sz="0" w:space="0" w:color="auto"/>
        <w:left w:val="none" w:sz="0" w:space="0" w:color="auto"/>
        <w:bottom w:val="none" w:sz="0" w:space="0" w:color="auto"/>
        <w:right w:val="none" w:sz="0" w:space="0" w:color="auto"/>
      </w:divBdr>
    </w:div>
    <w:div w:id="1589266910">
      <w:bodyDiv w:val="1"/>
      <w:marLeft w:val="0"/>
      <w:marRight w:val="0"/>
      <w:marTop w:val="0"/>
      <w:marBottom w:val="0"/>
      <w:divBdr>
        <w:top w:val="none" w:sz="0" w:space="0" w:color="auto"/>
        <w:left w:val="none" w:sz="0" w:space="0" w:color="auto"/>
        <w:bottom w:val="none" w:sz="0" w:space="0" w:color="auto"/>
        <w:right w:val="none" w:sz="0" w:space="0" w:color="auto"/>
      </w:divBdr>
    </w:div>
    <w:div w:id="1644889428">
      <w:bodyDiv w:val="1"/>
      <w:marLeft w:val="0"/>
      <w:marRight w:val="0"/>
      <w:marTop w:val="0"/>
      <w:marBottom w:val="0"/>
      <w:divBdr>
        <w:top w:val="none" w:sz="0" w:space="0" w:color="auto"/>
        <w:left w:val="none" w:sz="0" w:space="0" w:color="auto"/>
        <w:bottom w:val="none" w:sz="0" w:space="0" w:color="auto"/>
        <w:right w:val="none" w:sz="0" w:space="0" w:color="auto"/>
      </w:divBdr>
    </w:div>
    <w:div w:id="1679187750">
      <w:bodyDiv w:val="1"/>
      <w:marLeft w:val="0"/>
      <w:marRight w:val="0"/>
      <w:marTop w:val="0"/>
      <w:marBottom w:val="0"/>
      <w:divBdr>
        <w:top w:val="none" w:sz="0" w:space="0" w:color="auto"/>
        <w:left w:val="none" w:sz="0" w:space="0" w:color="auto"/>
        <w:bottom w:val="none" w:sz="0" w:space="0" w:color="auto"/>
        <w:right w:val="none" w:sz="0" w:space="0" w:color="auto"/>
      </w:divBdr>
    </w:div>
    <w:div w:id="1698392062">
      <w:bodyDiv w:val="1"/>
      <w:marLeft w:val="0"/>
      <w:marRight w:val="0"/>
      <w:marTop w:val="0"/>
      <w:marBottom w:val="0"/>
      <w:divBdr>
        <w:top w:val="none" w:sz="0" w:space="0" w:color="auto"/>
        <w:left w:val="none" w:sz="0" w:space="0" w:color="auto"/>
        <w:bottom w:val="none" w:sz="0" w:space="0" w:color="auto"/>
        <w:right w:val="none" w:sz="0" w:space="0" w:color="auto"/>
      </w:divBdr>
    </w:div>
    <w:div w:id="1762801161">
      <w:bodyDiv w:val="1"/>
      <w:marLeft w:val="0"/>
      <w:marRight w:val="0"/>
      <w:marTop w:val="0"/>
      <w:marBottom w:val="0"/>
      <w:divBdr>
        <w:top w:val="none" w:sz="0" w:space="0" w:color="auto"/>
        <w:left w:val="none" w:sz="0" w:space="0" w:color="auto"/>
        <w:bottom w:val="none" w:sz="0" w:space="0" w:color="auto"/>
        <w:right w:val="none" w:sz="0" w:space="0" w:color="auto"/>
      </w:divBdr>
    </w:div>
    <w:div w:id="1780948276">
      <w:bodyDiv w:val="1"/>
      <w:marLeft w:val="0"/>
      <w:marRight w:val="0"/>
      <w:marTop w:val="0"/>
      <w:marBottom w:val="0"/>
      <w:divBdr>
        <w:top w:val="none" w:sz="0" w:space="0" w:color="auto"/>
        <w:left w:val="none" w:sz="0" w:space="0" w:color="auto"/>
        <w:bottom w:val="none" w:sz="0" w:space="0" w:color="auto"/>
        <w:right w:val="none" w:sz="0" w:space="0" w:color="auto"/>
      </w:divBdr>
    </w:div>
    <w:div w:id="1784421880">
      <w:bodyDiv w:val="1"/>
      <w:marLeft w:val="0"/>
      <w:marRight w:val="0"/>
      <w:marTop w:val="0"/>
      <w:marBottom w:val="0"/>
      <w:divBdr>
        <w:top w:val="none" w:sz="0" w:space="0" w:color="auto"/>
        <w:left w:val="none" w:sz="0" w:space="0" w:color="auto"/>
        <w:bottom w:val="none" w:sz="0" w:space="0" w:color="auto"/>
        <w:right w:val="none" w:sz="0" w:space="0" w:color="auto"/>
      </w:divBdr>
    </w:div>
    <w:div w:id="1788037949">
      <w:bodyDiv w:val="1"/>
      <w:marLeft w:val="0"/>
      <w:marRight w:val="0"/>
      <w:marTop w:val="0"/>
      <w:marBottom w:val="0"/>
      <w:divBdr>
        <w:top w:val="none" w:sz="0" w:space="0" w:color="auto"/>
        <w:left w:val="none" w:sz="0" w:space="0" w:color="auto"/>
        <w:bottom w:val="none" w:sz="0" w:space="0" w:color="auto"/>
        <w:right w:val="none" w:sz="0" w:space="0" w:color="auto"/>
      </w:divBdr>
    </w:div>
    <w:div w:id="1788085720">
      <w:bodyDiv w:val="1"/>
      <w:marLeft w:val="0"/>
      <w:marRight w:val="0"/>
      <w:marTop w:val="0"/>
      <w:marBottom w:val="0"/>
      <w:divBdr>
        <w:top w:val="none" w:sz="0" w:space="0" w:color="auto"/>
        <w:left w:val="none" w:sz="0" w:space="0" w:color="auto"/>
        <w:bottom w:val="none" w:sz="0" w:space="0" w:color="auto"/>
        <w:right w:val="none" w:sz="0" w:space="0" w:color="auto"/>
      </w:divBdr>
      <w:divsChild>
        <w:div w:id="498470188">
          <w:marLeft w:val="547"/>
          <w:marRight w:val="0"/>
          <w:marTop w:val="130"/>
          <w:marBottom w:val="0"/>
          <w:divBdr>
            <w:top w:val="none" w:sz="0" w:space="0" w:color="auto"/>
            <w:left w:val="none" w:sz="0" w:space="0" w:color="auto"/>
            <w:bottom w:val="none" w:sz="0" w:space="0" w:color="auto"/>
            <w:right w:val="none" w:sz="0" w:space="0" w:color="auto"/>
          </w:divBdr>
        </w:div>
        <w:div w:id="83495813">
          <w:marLeft w:val="547"/>
          <w:marRight w:val="0"/>
          <w:marTop w:val="130"/>
          <w:marBottom w:val="0"/>
          <w:divBdr>
            <w:top w:val="none" w:sz="0" w:space="0" w:color="auto"/>
            <w:left w:val="none" w:sz="0" w:space="0" w:color="auto"/>
            <w:bottom w:val="none" w:sz="0" w:space="0" w:color="auto"/>
            <w:right w:val="none" w:sz="0" w:space="0" w:color="auto"/>
          </w:divBdr>
        </w:div>
      </w:divsChild>
    </w:div>
    <w:div w:id="1790202927">
      <w:bodyDiv w:val="1"/>
      <w:marLeft w:val="0"/>
      <w:marRight w:val="0"/>
      <w:marTop w:val="0"/>
      <w:marBottom w:val="0"/>
      <w:divBdr>
        <w:top w:val="none" w:sz="0" w:space="0" w:color="auto"/>
        <w:left w:val="none" w:sz="0" w:space="0" w:color="auto"/>
        <w:bottom w:val="none" w:sz="0" w:space="0" w:color="auto"/>
        <w:right w:val="none" w:sz="0" w:space="0" w:color="auto"/>
      </w:divBdr>
    </w:div>
    <w:div w:id="1797990357">
      <w:bodyDiv w:val="1"/>
      <w:marLeft w:val="0"/>
      <w:marRight w:val="0"/>
      <w:marTop w:val="0"/>
      <w:marBottom w:val="0"/>
      <w:divBdr>
        <w:top w:val="none" w:sz="0" w:space="0" w:color="auto"/>
        <w:left w:val="none" w:sz="0" w:space="0" w:color="auto"/>
        <w:bottom w:val="none" w:sz="0" w:space="0" w:color="auto"/>
        <w:right w:val="none" w:sz="0" w:space="0" w:color="auto"/>
      </w:divBdr>
    </w:div>
    <w:div w:id="1801800159">
      <w:bodyDiv w:val="1"/>
      <w:marLeft w:val="0"/>
      <w:marRight w:val="0"/>
      <w:marTop w:val="0"/>
      <w:marBottom w:val="0"/>
      <w:divBdr>
        <w:top w:val="none" w:sz="0" w:space="0" w:color="auto"/>
        <w:left w:val="none" w:sz="0" w:space="0" w:color="auto"/>
        <w:bottom w:val="none" w:sz="0" w:space="0" w:color="auto"/>
        <w:right w:val="none" w:sz="0" w:space="0" w:color="auto"/>
      </w:divBdr>
    </w:div>
    <w:div w:id="1827940604">
      <w:bodyDiv w:val="1"/>
      <w:marLeft w:val="0"/>
      <w:marRight w:val="0"/>
      <w:marTop w:val="0"/>
      <w:marBottom w:val="0"/>
      <w:divBdr>
        <w:top w:val="none" w:sz="0" w:space="0" w:color="auto"/>
        <w:left w:val="none" w:sz="0" w:space="0" w:color="auto"/>
        <w:bottom w:val="none" w:sz="0" w:space="0" w:color="auto"/>
        <w:right w:val="none" w:sz="0" w:space="0" w:color="auto"/>
      </w:divBdr>
    </w:div>
    <w:div w:id="1837957148">
      <w:bodyDiv w:val="1"/>
      <w:marLeft w:val="0"/>
      <w:marRight w:val="0"/>
      <w:marTop w:val="0"/>
      <w:marBottom w:val="0"/>
      <w:divBdr>
        <w:top w:val="none" w:sz="0" w:space="0" w:color="auto"/>
        <w:left w:val="none" w:sz="0" w:space="0" w:color="auto"/>
        <w:bottom w:val="none" w:sz="0" w:space="0" w:color="auto"/>
        <w:right w:val="none" w:sz="0" w:space="0" w:color="auto"/>
      </w:divBdr>
    </w:div>
    <w:div w:id="1860504706">
      <w:bodyDiv w:val="1"/>
      <w:marLeft w:val="0"/>
      <w:marRight w:val="0"/>
      <w:marTop w:val="0"/>
      <w:marBottom w:val="0"/>
      <w:divBdr>
        <w:top w:val="none" w:sz="0" w:space="0" w:color="auto"/>
        <w:left w:val="none" w:sz="0" w:space="0" w:color="auto"/>
        <w:bottom w:val="none" w:sz="0" w:space="0" w:color="auto"/>
        <w:right w:val="none" w:sz="0" w:space="0" w:color="auto"/>
      </w:divBdr>
    </w:div>
    <w:div w:id="1866165086">
      <w:bodyDiv w:val="1"/>
      <w:marLeft w:val="0"/>
      <w:marRight w:val="0"/>
      <w:marTop w:val="0"/>
      <w:marBottom w:val="0"/>
      <w:divBdr>
        <w:top w:val="none" w:sz="0" w:space="0" w:color="auto"/>
        <w:left w:val="none" w:sz="0" w:space="0" w:color="auto"/>
        <w:bottom w:val="none" w:sz="0" w:space="0" w:color="auto"/>
        <w:right w:val="none" w:sz="0" w:space="0" w:color="auto"/>
      </w:divBdr>
    </w:div>
    <w:div w:id="1873609061">
      <w:bodyDiv w:val="1"/>
      <w:marLeft w:val="0"/>
      <w:marRight w:val="0"/>
      <w:marTop w:val="0"/>
      <w:marBottom w:val="0"/>
      <w:divBdr>
        <w:top w:val="none" w:sz="0" w:space="0" w:color="auto"/>
        <w:left w:val="none" w:sz="0" w:space="0" w:color="auto"/>
        <w:bottom w:val="none" w:sz="0" w:space="0" w:color="auto"/>
        <w:right w:val="none" w:sz="0" w:space="0" w:color="auto"/>
      </w:divBdr>
    </w:div>
    <w:div w:id="1873762701">
      <w:bodyDiv w:val="1"/>
      <w:marLeft w:val="0"/>
      <w:marRight w:val="0"/>
      <w:marTop w:val="0"/>
      <w:marBottom w:val="0"/>
      <w:divBdr>
        <w:top w:val="none" w:sz="0" w:space="0" w:color="auto"/>
        <w:left w:val="none" w:sz="0" w:space="0" w:color="auto"/>
        <w:bottom w:val="none" w:sz="0" w:space="0" w:color="auto"/>
        <w:right w:val="none" w:sz="0" w:space="0" w:color="auto"/>
      </w:divBdr>
    </w:div>
    <w:div w:id="1875344319">
      <w:bodyDiv w:val="1"/>
      <w:marLeft w:val="0"/>
      <w:marRight w:val="0"/>
      <w:marTop w:val="0"/>
      <w:marBottom w:val="0"/>
      <w:divBdr>
        <w:top w:val="none" w:sz="0" w:space="0" w:color="auto"/>
        <w:left w:val="none" w:sz="0" w:space="0" w:color="auto"/>
        <w:bottom w:val="none" w:sz="0" w:space="0" w:color="auto"/>
        <w:right w:val="none" w:sz="0" w:space="0" w:color="auto"/>
      </w:divBdr>
    </w:div>
    <w:div w:id="1885681090">
      <w:bodyDiv w:val="1"/>
      <w:marLeft w:val="0"/>
      <w:marRight w:val="0"/>
      <w:marTop w:val="0"/>
      <w:marBottom w:val="0"/>
      <w:divBdr>
        <w:top w:val="none" w:sz="0" w:space="0" w:color="auto"/>
        <w:left w:val="none" w:sz="0" w:space="0" w:color="auto"/>
        <w:bottom w:val="none" w:sz="0" w:space="0" w:color="auto"/>
        <w:right w:val="none" w:sz="0" w:space="0" w:color="auto"/>
      </w:divBdr>
    </w:div>
    <w:div w:id="1893468558">
      <w:bodyDiv w:val="1"/>
      <w:marLeft w:val="0"/>
      <w:marRight w:val="0"/>
      <w:marTop w:val="0"/>
      <w:marBottom w:val="0"/>
      <w:divBdr>
        <w:top w:val="none" w:sz="0" w:space="0" w:color="auto"/>
        <w:left w:val="none" w:sz="0" w:space="0" w:color="auto"/>
        <w:bottom w:val="none" w:sz="0" w:space="0" w:color="auto"/>
        <w:right w:val="none" w:sz="0" w:space="0" w:color="auto"/>
      </w:divBdr>
    </w:div>
    <w:div w:id="1895507013">
      <w:bodyDiv w:val="1"/>
      <w:marLeft w:val="0"/>
      <w:marRight w:val="0"/>
      <w:marTop w:val="0"/>
      <w:marBottom w:val="0"/>
      <w:divBdr>
        <w:top w:val="none" w:sz="0" w:space="0" w:color="auto"/>
        <w:left w:val="none" w:sz="0" w:space="0" w:color="auto"/>
        <w:bottom w:val="none" w:sz="0" w:space="0" w:color="auto"/>
        <w:right w:val="none" w:sz="0" w:space="0" w:color="auto"/>
      </w:divBdr>
    </w:div>
    <w:div w:id="1907715341">
      <w:bodyDiv w:val="1"/>
      <w:marLeft w:val="0"/>
      <w:marRight w:val="0"/>
      <w:marTop w:val="0"/>
      <w:marBottom w:val="0"/>
      <w:divBdr>
        <w:top w:val="none" w:sz="0" w:space="0" w:color="auto"/>
        <w:left w:val="none" w:sz="0" w:space="0" w:color="auto"/>
        <w:bottom w:val="none" w:sz="0" w:space="0" w:color="auto"/>
        <w:right w:val="none" w:sz="0" w:space="0" w:color="auto"/>
      </w:divBdr>
    </w:div>
    <w:div w:id="1922176958">
      <w:bodyDiv w:val="1"/>
      <w:marLeft w:val="0"/>
      <w:marRight w:val="0"/>
      <w:marTop w:val="0"/>
      <w:marBottom w:val="0"/>
      <w:divBdr>
        <w:top w:val="none" w:sz="0" w:space="0" w:color="auto"/>
        <w:left w:val="none" w:sz="0" w:space="0" w:color="auto"/>
        <w:bottom w:val="none" w:sz="0" w:space="0" w:color="auto"/>
        <w:right w:val="none" w:sz="0" w:space="0" w:color="auto"/>
      </w:divBdr>
    </w:div>
    <w:div w:id="1935742089">
      <w:bodyDiv w:val="1"/>
      <w:marLeft w:val="0"/>
      <w:marRight w:val="0"/>
      <w:marTop w:val="0"/>
      <w:marBottom w:val="0"/>
      <w:divBdr>
        <w:top w:val="none" w:sz="0" w:space="0" w:color="auto"/>
        <w:left w:val="none" w:sz="0" w:space="0" w:color="auto"/>
        <w:bottom w:val="none" w:sz="0" w:space="0" w:color="auto"/>
        <w:right w:val="none" w:sz="0" w:space="0" w:color="auto"/>
      </w:divBdr>
    </w:div>
    <w:div w:id="1945963483">
      <w:bodyDiv w:val="1"/>
      <w:marLeft w:val="0"/>
      <w:marRight w:val="0"/>
      <w:marTop w:val="0"/>
      <w:marBottom w:val="0"/>
      <w:divBdr>
        <w:top w:val="none" w:sz="0" w:space="0" w:color="auto"/>
        <w:left w:val="none" w:sz="0" w:space="0" w:color="auto"/>
        <w:bottom w:val="none" w:sz="0" w:space="0" w:color="auto"/>
        <w:right w:val="none" w:sz="0" w:space="0" w:color="auto"/>
      </w:divBdr>
    </w:div>
    <w:div w:id="1987585240">
      <w:bodyDiv w:val="1"/>
      <w:marLeft w:val="0"/>
      <w:marRight w:val="0"/>
      <w:marTop w:val="0"/>
      <w:marBottom w:val="0"/>
      <w:divBdr>
        <w:top w:val="none" w:sz="0" w:space="0" w:color="auto"/>
        <w:left w:val="none" w:sz="0" w:space="0" w:color="auto"/>
        <w:bottom w:val="none" w:sz="0" w:space="0" w:color="auto"/>
        <w:right w:val="none" w:sz="0" w:space="0" w:color="auto"/>
      </w:divBdr>
    </w:div>
    <w:div w:id="1991136217">
      <w:bodyDiv w:val="1"/>
      <w:marLeft w:val="0"/>
      <w:marRight w:val="0"/>
      <w:marTop w:val="0"/>
      <w:marBottom w:val="0"/>
      <w:divBdr>
        <w:top w:val="none" w:sz="0" w:space="0" w:color="auto"/>
        <w:left w:val="none" w:sz="0" w:space="0" w:color="auto"/>
        <w:bottom w:val="none" w:sz="0" w:space="0" w:color="auto"/>
        <w:right w:val="none" w:sz="0" w:space="0" w:color="auto"/>
      </w:divBdr>
    </w:div>
    <w:div w:id="2002004219">
      <w:bodyDiv w:val="1"/>
      <w:marLeft w:val="0"/>
      <w:marRight w:val="0"/>
      <w:marTop w:val="0"/>
      <w:marBottom w:val="0"/>
      <w:divBdr>
        <w:top w:val="none" w:sz="0" w:space="0" w:color="auto"/>
        <w:left w:val="none" w:sz="0" w:space="0" w:color="auto"/>
        <w:bottom w:val="none" w:sz="0" w:space="0" w:color="auto"/>
        <w:right w:val="none" w:sz="0" w:space="0" w:color="auto"/>
      </w:divBdr>
    </w:div>
    <w:div w:id="2036729703">
      <w:bodyDiv w:val="1"/>
      <w:marLeft w:val="0"/>
      <w:marRight w:val="0"/>
      <w:marTop w:val="0"/>
      <w:marBottom w:val="0"/>
      <w:divBdr>
        <w:top w:val="none" w:sz="0" w:space="0" w:color="auto"/>
        <w:left w:val="none" w:sz="0" w:space="0" w:color="auto"/>
        <w:bottom w:val="none" w:sz="0" w:space="0" w:color="auto"/>
        <w:right w:val="none" w:sz="0" w:space="0" w:color="auto"/>
      </w:divBdr>
    </w:div>
    <w:div w:id="2038848618">
      <w:bodyDiv w:val="1"/>
      <w:marLeft w:val="0"/>
      <w:marRight w:val="0"/>
      <w:marTop w:val="0"/>
      <w:marBottom w:val="0"/>
      <w:divBdr>
        <w:top w:val="none" w:sz="0" w:space="0" w:color="auto"/>
        <w:left w:val="none" w:sz="0" w:space="0" w:color="auto"/>
        <w:bottom w:val="none" w:sz="0" w:space="0" w:color="auto"/>
        <w:right w:val="none" w:sz="0" w:space="0" w:color="auto"/>
      </w:divBdr>
    </w:div>
    <w:div w:id="2052029263">
      <w:bodyDiv w:val="1"/>
      <w:marLeft w:val="0"/>
      <w:marRight w:val="0"/>
      <w:marTop w:val="0"/>
      <w:marBottom w:val="0"/>
      <w:divBdr>
        <w:top w:val="none" w:sz="0" w:space="0" w:color="auto"/>
        <w:left w:val="none" w:sz="0" w:space="0" w:color="auto"/>
        <w:bottom w:val="none" w:sz="0" w:space="0" w:color="auto"/>
        <w:right w:val="none" w:sz="0" w:space="0" w:color="auto"/>
      </w:divBdr>
    </w:div>
    <w:div w:id="2057657321">
      <w:bodyDiv w:val="1"/>
      <w:marLeft w:val="0"/>
      <w:marRight w:val="0"/>
      <w:marTop w:val="0"/>
      <w:marBottom w:val="0"/>
      <w:divBdr>
        <w:top w:val="none" w:sz="0" w:space="0" w:color="auto"/>
        <w:left w:val="none" w:sz="0" w:space="0" w:color="auto"/>
        <w:bottom w:val="none" w:sz="0" w:space="0" w:color="auto"/>
        <w:right w:val="none" w:sz="0" w:space="0" w:color="auto"/>
      </w:divBdr>
    </w:div>
    <w:div w:id="2059161963">
      <w:bodyDiv w:val="1"/>
      <w:marLeft w:val="0"/>
      <w:marRight w:val="0"/>
      <w:marTop w:val="0"/>
      <w:marBottom w:val="0"/>
      <w:divBdr>
        <w:top w:val="none" w:sz="0" w:space="0" w:color="auto"/>
        <w:left w:val="none" w:sz="0" w:space="0" w:color="auto"/>
        <w:bottom w:val="none" w:sz="0" w:space="0" w:color="auto"/>
        <w:right w:val="none" w:sz="0" w:space="0" w:color="auto"/>
      </w:divBdr>
    </w:div>
    <w:div w:id="21469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cable@mansfield.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emberton@mansfield.gov.uk"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zubert@mansfield.gov.uk"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bacon\Application%20Data\Microsoft\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BE4A2-D34E-4ECA-A980-D6DA15715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0</TotalTime>
  <Pages>36</Pages>
  <Words>9468</Words>
  <Characters>53970</Characters>
  <Application>Microsoft Office Word</Application>
  <DocSecurity>4</DocSecurity>
  <Lines>449</Lines>
  <Paragraphs>126</Paragraphs>
  <ScaleCrop>false</ScaleCrop>
  <HeadingPairs>
    <vt:vector size="2" baseType="variant">
      <vt:variant>
        <vt:lpstr>Title</vt:lpstr>
      </vt:variant>
      <vt:variant>
        <vt:i4>1</vt:i4>
      </vt:variant>
    </vt:vector>
  </HeadingPairs>
  <TitlesOfParts>
    <vt:vector size="1" baseType="lpstr">
      <vt:lpstr>Report of Chief Executive Officer</vt:lpstr>
    </vt:vector>
  </TitlesOfParts>
  <Company>MDC</Company>
  <LinksUpToDate>false</LinksUpToDate>
  <CharactersWithSpaces>63312</CharactersWithSpaces>
  <SharedDoc>false</SharedDoc>
  <HLinks>
    <vt:vector size="6" baseType="variant">
      <vt:variant>
        <vt:i4>4063325</vt:i4>
      </vt:variant>
      <vt:variant>
        <vt:i4>0</vt:i4>
      </vt:variant>
      <vt:variant>
        <vt:i4>0</vt:i4>
      </vt:variant>
      <vt:variant>
        <vt:i4>5</vt:i4>
      </vt:variant>
      <vt:variant>
        <vt:lpwstr>mailto:eszubert@mansfield.gov.uk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Chief Executive Officer</dc:title>
  <dc:creator>pbacon</dc:creator>
  <cp:lastModifiedBy>Administrator</cp:lastModifiedBy>
  <cp:revision>2</cp:revision>
  <cp:lastPrinted>2020-10-20T12:58:00Z</cp:lastPrinted>
  <dcterms:created xsi:type="dcterms:W3CDTF">2021-01-08T13:40:00Z</dcterms:created>
  <dcterms:modified xsi:type="dcterms:W3CDTF">2021-01-08T13:40:00Z</dcterms:modified>
</cp:coreProperties>
</file>